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4D" w:rsidRPr="008873A0" w:rsidRDefault="0011394D" w:rsidP="00113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11394D" w:rsidRPr="008873A0" w:rsidRDefault="0011394D" w:rsidP="00113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94D" w:rsidRPr="008873A0" w:rsidRDefault="0011394D" w:rsidP="0011394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 (2017-2019 годы), (далее – Программа).</w:t>
      </w:r>
      <w:proofErr w:type="gramEnd"/>
    </w:p>
    <w:p w:rsidR="0011394D" w:rsidRPr="008873A0" w:rsidRDefault="0011394D" w:rsidP="0011394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расчеты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 бюджетом по налогам, сборам и взносам;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11394D" w:rsidRPr="008873A0" w:rsidRDefault="0011394D" w:rsidP="0011394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Гранты предоставляются: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873A0">
        <w:rPr>
          <w:rFonts w:ascii="Times New Roman" w:hAnsi="Times New Roman"/>
          <w:sz w:val="24"/>
          <w:szCs w:val="24"/>
        </w:rPr>
        <w:t>размере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В случае, когда учредителями вновь созданного юридического лица являются несколько физических лиц, </w:t>
      </w:r>
      <w:proofErr w:type="spellStart"/>
      <w:r w:rsidRPr="008873A0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в приоритетную целевую группу СМП, </w:t>
      </w:r>
      <w:proofErr w:type="spellStart"/>
      <w:r w:rsidRPr="008873A0">
        <w:rPr>
          <w:rFonts w:ascii="Times New Roman" w:hAnsi="Times New Roman"/>
          <w:sz w:val="24"/>
          <w:szCs w:val="24"/>
        </w:rPr>
        <w:t>определенную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  <w:proofErr w:type="gramEnd"/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  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  и   в  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 внебюджетных источников, предусмотренных на реализацию данного направления поддержки в рамках Программы.</w:t>
      </w:r>
    </w:p>
    <w:p w:rsidR="0011394D" w:rsidRPr="008873A0" w:rsidRDefault="0011394D" w:rsidP="0011394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Приоритетная целевая группа СМП состоит </w:t>
      </w:r>
      <w:proofErr w:type="gramStart"/>
      <w:r w:rsidRPr="008873A0">
        <w:rPr>
          <w:rFonts w:ascii="Times New Roman" w:hAnsi="Times New Roman"/>
          <w:sz w:val="24"/>
          <w:szCs w:val="24"/>
        </w:rPr>
        <w:t>из</w:t>
      </w:r>
      <w:proofErr w:type="gramEnd"/>
      <w:r w:rsidRPr="008873A0">
        <w:rPr>
          <w:rFonts w:ascii="Times New Roman" w:hAnsi="Times New Roman"/>
          <w:sz w:val="24"/>
          <w:szCs w:val="24"/>
        </w:rPr>
        <w:t>: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военнослужащих, уволенных в запас в связи с сокращением </w:t>
      </w:r>
      <w:proofErr w:type="spellStart"/>
      <w:r w:rsidRPr="008873A0">
        <w:rPr>
          <w:rFonts w:ascii="Times New Roman" w:hAnsi="Times New Roman"/>
          <w:sz w:val="24"/>
          <w:szCs w:val="24"/>
        </w:rPr>
        <w:t>Вооруженных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Сил Российской Федерации;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физических лиц в </w:t>
      </w:r>
      <w:proofErr w:type="gramStart"/>
      <w:r w:rsidRPr="008873A0">
        <w:rPr>
          <w:rFonts w:ascii="Times New Roman" w:hAnsi="Times New Roman"/>
          <w:sz w:val="24"/>
          <w:szCs w:val="24"/>
        </w:rPr>
        <w:t>возрасте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до 30 лет включительно;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молодых семей, имеющих детей, в том числе неполных молодых семей, состоящих из одного молодого родителя и одного и более детей, при условии, что возраст </w:t>
      </w:r>
      <w:r w:rsidRPr="008873A0">
        <w:rPr>
          <w:rFonts w:ascii="Times New Roman" w:hAnsi="Times New Roman"/>
          <w:sz w:val="24"/>
          <w:szCs w:val="24"/>
        </w:rPr>
        <w:lastRenderedPageBreak/>
        <w:t>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женщин, воспитывающих детей в </w:t>
      </w:r>
      <w:proofErr w:type="gramStart"/>
      <w:r w:rsidRPr="008873A0">
        <w:rPr>
          <w:rFonts w:ascii="Times New Roman" w:hAnsi="Times New Roman"/>
          <w:sz w:val="24"/>
          <w:szCs w:val="24"/>
        </w:rPr>
        <w:t>возрасте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до 3-х лет;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юридических лиц, в уставном </w:t>
      </w:r>
      <w:proofErr w:type="gramStart"/>
      <w:r w:rsidRPr="008873A0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доля которых, принадлежащая физическим лицам, указанным в пунктах 1-7 настоящей части, составляет более 50%;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граждан), а также, лиц, </w:t>
      </w:r>
      <w:proofErr w:type="spellStart"/>
      <w:r w:rsidRPr="008873A0">
        <w:rPr>
          <w:rFonts w:ascii="Times New Roman" w:hAnsi="Times New Roman"/>
          <w:sz w:val="24"/>
          <w:szCs w:val="24"/>
        </w:rPr>
        <w:t>освобожденных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из мест лишения свободы в течение 2 лет, предшествующих дате подачи заявления на предоставление гранта, при условии, что среднесписочная численность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указанных категорий граждан среди работников СМП составляет не менее 50%, а их доля в </w:t>
      </w:r>
      <w:proofErr w:type="gramStart"/>
      <w:r w:rsidRPr="008873A0">
        <w:rPr>
          <w:rFonts w:ascii="Times New Roman" w:hAnsi="Times New Roman"/>
          <w:sz w:val="24"/>
          <w:szCs w:val="24"/>
        </w:rPr>
        <w:t>фонде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оплаты труда – не менее 25%;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</w:t>
      </w:r>
      <w:proofErr w:type="gramStart"/>
      <w:r w:rsidRPr="008873A0">
        <w:rPr>
          <w:rFonts w:ascii="Times New Roman" w:hAnsi="Times New Roman"/>
          <w:sz w:val="24"/>
          <w:szCs w:val="24"/>
        </w:rPr>
        <w:t>сферах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деятельности: 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8873A0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лиц, относящихся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социальное обслуживание лиц, относящихся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граждан, и семей с детьми в области здравоохранения, физической культуры и массового спорта, проведение занятий в детских и </w:t>
      </w:r>
      <w:proofErr w:type="spellStart"/>
      <w:r w:rsidRPr="008873A0">
        <w:rPr>
          <w:rFonts w:ascii="Times New Roman" w:hAnsi="Times New Roman"/>
          <w:sz w:val="24"/>
          <w:szCs w:val="24"/>
        </w:rPr>
        <w:t>молодежных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кружках, секциях, студиях;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организация социального туризма (в части экскурсионно-познавательных туров для лиц, относящихся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граждан);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предоставление образовательных услуг лицам, относящимся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содействие вовлечению в социально-активную деятельность лиц, относящимся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граждан, а так же лиц, </w:t>
      </w:r>
      <w:proofErr w:type="spellStart"/>
      <w:r w:rsidRPr="008873A0">
        <w:rPr>
          <w:rFonts w:ascii="Times New Roman" w:hAnsi="Times New Roman"/>
          <w:sz w:val="24"/>
          <w:szCs w:val="24"/>
        </w:rPr>
        <w:t>освобожденных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11394D" w:rsidRPr="008873A0" w:rsidRDefault="0011394D" w:rsidP="0011394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заявитель является СМП в </w:t>
      </w:r>
      <w:proofErr w:type="gramStart"/>
      <w:r w:rsidRPr="008873A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Федеральным законом от 24.07.2007 № 209-ФЗ «О развитии малого и среднего предпринимательства в Российской Федерации»;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предпринимательскую деятельность в сфере игорного бизнеса;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8873A0">
        <w:rPr>
          <w:rFonts w:ascii="Times New Roman" w:hAnsi="Times New Roman"/>
          <w:sz w:val="24"/>
          <w:szCs w:val="24"/>
        </w:rPr>
        <w:t>включенные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не осуществляет производство и реализацию подакцизных товаров, а так же добычу и реализацию полезных ископаемых (за исключением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общераспространенных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полезных ископаемых);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состоит на налоговом </w:t>
      </w:r>
      <w:proofErr w:type="spellStart"/>
      <w:r w:rsidRPr="008873A0">
        <w:rPr>
          <w:rFonts w:ascii="Times New Roman" w:hAnsi="Times New Roman"/>
          <w:sz w:val="24"/>
          <w:szCs w:val="24"/>
        </w:rPr>
        <w:t>учете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на территории Усть-Большерецкого </w:t>
      </w:r>
      <w:proofErr w:type="gramStart"/>
      <w:r w:rsidRPr="008873A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</w:t>
      </w:r>
      <w:proofErr w:type="gramStart"/>
      <w:r w:rsidRPr="008873A0">
        <w:rPr>
          <w:rFonts w:ascii="Times New Roman" w:hAnsi="Times New Roman"/>
          <w:sz w:val="24"/>
          <w:szCs w:val="24"/>
        </w:rPr>
        <w:t>н(</w:t>
      </w:r>
      <w:proofErr w:type="gramEnd"/>
      <w:r w:rsidRPr="008873A0">
        <w:rPr>
          <w:rFonts w:ascii="Times New Roman" w:hAnsi="Times New Roman"/>
          <w:sz w:val="24"/>
          <w:szCs w:val="24"/>
        </w:rPr>
        <w:t>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</w:t>
      </w:r>
      <w:proofErr w:type="gramStart"/>
      <w:r w:rsidRPr="008873A0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11394D" w:rsidRPr="008873A0" w:rsidRDefault="0011394D" w:rsidP="00113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</w:t>
      </w:r>
      <w:proofErr w:type="gramStart"/>
      <w:r w:rsidRPr="008873A0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</w:t>
      </w:r>
      <w:proofErr w:type="spellStart"/>
      <w:r w:rsidRPr="008873A0">
        <w:rPr>
          <w:rFonts w:ascii="Times New Roman" w:hAnsi="Times New Roman"/>
          <w:sz w:val="24"/>
          <w:szCs w:val="24"/>
        </w:rPr>
        <w:t>молодежного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предпринимательства (прохождение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доля </w:t>
      </w:r>
      <w:proofErr w:type="spellStart"/>
      <w:r w:rsidRPr="008873A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гранта (в качестве </w:t>
      </w:r>
      <w:proofErr w:type="spellStart"/>
      <w:r w:rsidRPr="008873A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не учитываются расходы, </w:t>
      </w:r>
      <w:proofErr w:type="spellStart"/>
      <w:r w:rsidRPr="008873A0">
        <w:rPr>
          <w:rFonts w:ascii="Times New Roman" w:hAnsi="Times New Roman"/>
          <w:sz w:val="24"/>
          <w:szCs w:val="24"/>
        </w:rPr>
        <w:t>произведенные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средств, а также расходы, </w:t>
      </w:r>
      <w:proofErr w:type="spellStart"/>
      <w:r w:rsidRPr="008873A0">
        <w:rPr>
          <w:rFonts w:ascii="Times New Roman" w:hAnsi="Times New Roman"/>
          <w:sz w:val="24"/>
          <w:szCs w:val="24"/>
        </w:rPr>
        <w:t>произведенные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до даты государственной регистрации СМП);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создание одного и </w:t>
      </w:r>
      <w:proofErr w:type="gramStart"/>
      <w:r w:rsidRPr="008873A0">
        <w:rPr>
          <w:rFonts w:ascii="Times New Roman" w:hAnsi="Times New Roman"/>
          <w:sz w:val="24"/>
          <w:szCs w:val="24"/>
        </w:rPr>
        <w:t>более рабочих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мест в результате реализации бизнес-плана;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отсутствие в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11394D" w:rsidRPr="008873A0" w:rsidRDefault="0011394D" w:rsidP="0011394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запрет приобретения СМП – юридическим лицом 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</w:t>
      </w:r>
      <w:proofErr w:type="spellStart"/>
      <w:r w:rsidRPr="008873A0">
        <w:rPr>
          <w:rFonts w:ascii="Times New Roman" w:hAnsi="Times New Roman"/>
          <w:sz w:val="24"/>
          <w:szCs w:val="24"/>
        </w:rPr>
        <w:t>определенных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нормативными правовыми актами, муниципальными правовыми актами.</w:t>
      </w:r>
      <w:proofErr w:type="gramEnd"/>
    </w:p>
    <w:p w:rsidR="0011394D" w:rsidRPr="008873A0" w:rsidRDefault="0011394D" w:rsidP="0011394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</w:t>
      </w:r>
      <w:proofErr w:type="spellStart"/>
      <w:r w:rsidRPr="008873A0">
        <w:rPr>
          <w:rFonts w:ascii="Times New Roman" w:hAnsi="Times New Roman"/>
          <w:sz w:val="24"/>
          <w:szCs w:val="24"/>
        </w:rPr>
        <w:t>определенные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Администрацией Усть-Большерецкого муниципального района.</w:t>
      </w:r>
    </w:p>
    <w:p w:rsidR="0011394D" w:rsidRPr="008873A0" w:rsidRDefault="0011394D" w:rsidP="0011394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Start"/>
      <w:r w:rsidRPr="008873A0">
        <w:rPr>
          <w:rFonts w:ascii="Times New Roman" w:hAnsi="Times New Roman"/>
          <w:sz w:val="24"/>
          <w:szCs w:val="24"/>
        </w:rPr>
        <w:t>.р</w:t>
      </w:r>
      <w:proofErr w:type="gramEnd"/>
      <w:r w:rsidRPr="008873A0">
        <w:rPr>
          <w:rFonts w:ascii="Times New Roman" w:hAnsi="Times New Roman"/>
          <w:sz w:val="24"/>
          <w:szCs w:val="24"/>
        </w:rPr>
        <w:t>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Усть-Большерецкой еженедельной районной газете «Ударник».</w:t>
      </w:r>
    </w:p>
    <w:p w:rsidR="0011394D" w:rsidRPr="008873A0" w:rsidRDefault="0011394D" w:rsidP="00113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 регистрируются в </w:t>
      </w:r>
      <w:proofErr w:type="gramStart"/>
      <w:r w:rsidRPr="008873A0">
        <w:rPr>
          <w:rFonts w:ascii="Times New Roman" w:hAnsi="Times New Roman"/>
          <w:sz w:val="24"/>
          <w:szCs w:val="24"/>
        </w:rPr>
        <w:t>журнале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Датой и временем поступления заявки считаются дата и время </w:t>
      </w:r>
      <w:proofErr w:type="spellStart"/>
      <w:r w:rsidRPr="008873A0">
        <w:rPr>
          <w:rFonts w:ascii="Times New Roman" w:hAnsi="Times New Roman"/>
          <w:sz w:val="24"/>
          <w:szCs w:val="24"/>
        </w:rPr>
        <w:t>ее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получения Управлением.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Заявки, поступившие в Управление до начала либо после окончания срока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заявок, в </w:t>
      </w:r>
      <w:proofErr w:type="gramStart"/>
      <w:r w:rsidRPr="008873A0">
        <w:rPr>
          <w:rFonts w:ascii="Times New Roman" w:hAnsi="Times New Roman"/>
          <w:sz w:val="24"/>
          <w:szCs w:val="24"/>
        </w:rPr>
        <w:t>журнале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 рассматриваются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вправе отозвать заявку в любое время до момента рассмотрения </w:t>
      </w:r>
      <w:proofErr w:type="spellStart"/>
      <w:r w:rsidRPr="008873A0">
        <w:rPr>
          <w:rFonts w:ascii="Times New Roman" w:hAnsi="Times New Roman"/>
          <w:sz w:val="24"/>
          <w:szCs w:val="24"/>
        </w:rPr>
        <w:t>ее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Основаниями для отказа в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гранта являются:</w:t>
      </w:r>
    </w:p>
    <w:p w:rsidR="0011394D" w:rsidRPr="008873A0" w:rsidRDefault="0011394D" w:rsidP="0011394D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непредставление или предоставление не в полном </w:t>
      </w:r>
      <w:proofErr w:type="spellStart"/>
      <w:proofErr w:type="gram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proofErr w:type="gramEnd"/>
      <w:r w:rsidRPr="008873A0">
        <w:rPr>
          <w:rFonts w:ascii="Times New Roman" w:hAnsi="Times New Roman"/>
          <w:sz w:val="24"/>
          <w:szCs w:val="24"/>
        </w:rPr>
        <w:t xml:space="preserve"> документов, обязанность по предоставлению которых возложена на СМП в соответствии с настоящим Порядком;</w:t>
      </w:r>
    </w:p>
    <w:p w:rsidR="0011394D" w:rsidRPr="008873A0" w:rsidRDefault="0011394D" w:rsidP="0011394D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11394D" w:rsidRPr="008873A0" w:rsidRDefault="0011394D" w:rsidP="0011394D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11394D" w:rsidRPr="008873A0" w:rsidRDefault="0011394D" w:rsidP="0011394D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ранее в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СМП было принято решение об оказании аналогичной поддержки и сроки </w:t>
      </w:r>
      <w:proofErr w:type="spellStart"/>
      <w:r w:rsidRPr="008873A0">
        <w:rPr>
          <w:rFonts w:ascii="Times New Roman" w:hAnsi="Times New Roman"/>
          <w:sz w:val="24"/>
          <w:szCs w:val="24"/>
        </w:rPr>
        <w:t>ее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оказания не истекли;</w:t>
      </w:r>
    </w:p>
    <w:p w:rsidR="0011394D" w:rsidRPr="008873A0" w:rsidRDefault="0011394D" w:rsidP="0011394D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</w:t>
      </w:r>
      <w:proofErr w:type="gramStart"/>
      <w:r w:rsidRPr="008873A0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</w:t>
      </w:r>
      <w:proofErr w:type="spellStart"/>
      <w:r w:rsidRPr="008873A0">
        <w:rPr>
          <w:rFonts w:ascii="Times New Roman" w:hAnsi="Times New Roman"/>
          <w:sz w:val="24"/>
          <w:szCs w:val="24"/>
        </w:rPr>
        <w:t>трех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лет. 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11394D" w:rsidRPr="008873A0" w:rsidRDefault="0011394D" w:rsidP="0011394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Грант предоставляется </w:t>
      </w:r>
      <w:proofErr w:type="spellStart"/>
      <w:r w:rsidRPr="008873A0">
        <w:rPr>
          <w:rFonts w:ascii="Times New Roman" w:hAnsi="Times New Roman"/>
          <w:sz w:val="24"/>
          <w:szCs w:val="24"/>
        </w:rPr>
        <w:t>путем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перечисления денежных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дств с </w:t>
      </w:r>
      <w:proofErr w:type="spellStart"/>
      <w:r w:rsidRPr="008873A0">
        <w:rPr>
          <w:rFonts w:ascii="Times New Roman" w:hAnsi="Times New Roman"/>
          <w:sz w:val="24"/>
          <w:szCs w:val="24"/>
        </w:rPr>
        <w:t>р</w:t>
      </w:r>
      <w:proofErr w:type="gramEnd"/>
      <w:r w:rsidRPr="008873A0">
        <w:rPr>
          <w:rFonts w:ascii="Times New Roman" w:hAnsi="Times New Roman"/>
          <w:sz w:val="24"/>
          <w:szCs w:val="24"/>
        </w:rPr>
        <w:t>асчетного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счета Администрации Усть-Большерецкого муниципального района на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</w:t>
      </w:r>
      <w:proofErr w:type="spellStart"/>
      <w:r w:rsidRPr="008873A0">
        <w:rPr>
          <w:rFonts w:ascii="Times New Roman" w:hAnsi="Times New Roman"/>
          <w:sz w:val="24"/>
          <w:szCs w:val="24"/>
        </w:rPr>
        <w:t>заключенных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между СМП и производителями (поставщиками, продавцами) товаров, работ и услуг).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СМП обязан в течение действия соглашения о предоставлении гранта использовать имущество,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приобретенное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средств гранта, в целях реализации заявленного бизнес-проекта.</w:t>
      </w:r>
      <w:proofErr w:type="gramEnd"/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нарушения СМП условий настоящего Порядка, соглашения о предоставлении гранта, а так же в случае установления факта представления недостоверных сведений и (или) документов и (или) нецелевого использования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анта, вопрос о возврате полученных средств гранта выносится на рассмотрение Комиссии. 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невозврата СМП полученных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использования СМП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 не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неиспользованных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невозврата СМП неиспользованных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 использования СМП в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финансовом году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СМП.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11394D" w:rsidRPr="008873A0" w:rsidRDefault="0011394D" w:rsidP="0011394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Администрация Усть-Большерецкого муниципального района осуществляет контроль за реализацией настоящего порядка в </w:t>
      </w:r>
      <w:proofErr w:type="gramStart"/>
      <w:r w:rsidRPr="008873A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Бюджетным кодексом Российской Федерации.</w:t>
      </w:r>
    </w:p>
    <w:p w:rsidR="0011394D" w:rsidRDefault="0011394D" w:rsidP="001139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394D" w:rsidRPr="008873A0" w:rsidRDefault="0011394D" w:rsidP="001139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62C8" w:rsidRDefault="00EC62C8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11394D" w:rsidRPr="008873A0" w:rsidTr="001139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4D" w:rsidRPr="008873A0" w:rsidRDefault="0011394D" w:rsidP="0011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Pr="008873A0" w:rsidRDefault="0011394D" w:rsidP="001139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p w:rsidR="0011394D" w:rsidRDefault="0011394D"/>
    <w:sectPr w:rsidR="0011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10"/>
  </w:num>
  <w:num w:numId="5">
    <w:abstractNumId w:val="24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26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20"/>
  </w:num>
  <w:num w:numId="16">
    <w:abstractNumId w:val="12"/>
  </w:num>
  <w:num w:numId="17">
    <w:abstractNumId w:val="2"/>
  </w:num>
  <w:num w:numId="18">
    <w:abstractNumId w:val="21"/>
  </w:num>
  <w:num w:numId="19">
    <w:abstractNumId w:val="27"/>
  </w:num>
  <w:num w:numId="20">
    <w:abstractNumId w:val="29"/>
  </w:num>
  <w:num w:numId="21">
    <w:abstractNumId w:val="1"/>
  </w:num>
  <w:num w:numId="22">
    <w:abstractNumId w:val="23"/>
  </w:num>
  <w:num w:numId="23">
    <w:abstractNumId w:val="3"/>
  </w:num>
  <w:num w:numId="24">
    <w:abstractNumId w:val="7"/>
  </w:num>
  <w:num w:numId="25">
    <w:abstractNumId w:val="6"/>
  </w:num>
  <w:num w:numId="26">
    <w:abstractNumId w:val="28"/>
  </w:num>
  <w:num w:numId="27">
    <w:abstractNumId w:val="13"/>
  </w:num>
  <w:num w:numId="28">
    <w:abstractNumId w:val="4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D0"/>
    <w:rsid w:val="00000C0D"/>
    <w:rsid w:val="0003421F"/>
    <w:rsid w:val="000817F1"/>
    <w:rsid w:val="000A58AA"/>
    <w:rsid w:val="000A7F4C"/>
    <w:rsid w:val="0011394D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81DE2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33BD0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39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1394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94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9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3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3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13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9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139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113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3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139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11394D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11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394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1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1394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11394D"/>
    <w:rPr>
      <w:color w:val="0000FF"/>
      <w:u w:val="single"/>
    </w:rPr>
  </w:style>
  <w:style w:type="character" w:customStyle="1" w:styleId="a9">
    <w:name w:val="Гипертекстовая ссылка"/>
    <w:basedOn w:val="a0"/>
    <w:rsid w:val="0011394D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11394D"/>
    <w:rPr>
      <w:b/>
      <w:color w:val="26282F"/>
      <w:sz w:val="26"/>
    </w:rPr>
  </w:style>
  <w:style w:type="paragraph" w:styleId="ab">
    <w:name w:val="Body Text"/>
    <w:basedOn w:val="a"/>
    <w:link w:val="ac"/>
    <w:rsid w:val="0011394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13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139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139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11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11394D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11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11394D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11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11394D"/>
  </w:style>
  <w:style w:type="paragraph" w:styleId="af2">
    <w:name w:val="Title"/>
    <w:basedOn w:val="a"/>
    <w:link w:val="af3"/>
    <w:qFormat/>
    <w:rsid w:val="0011394D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1394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1139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11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39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1394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94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9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3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3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13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9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139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113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3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139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11394D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11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394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1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1394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11394D"/>
    <w:rPr>
      <w:color w:val="0000FF"/>
      <w:u w:val="single"/>
    </w:rPr>
  </w:style>
  <w:style w:type="character" w:customStyle="1" w:styleId="a9">
    <w:name w:val="Гипертекстовая ссылка"/>
    <w:basedOn w:val="a0"/>
    <w:rsid w:val="0011394D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11394D"/>
    <w:rPr>
      <w:b/>
      <w:color w:val="26282F"/>
      <w:sz w:val="26"/>
    </w:rPr>
  </w:style>
  <w:style w:type="paragraph" w:styleId="ab">
    <w:name w:val="Body Text"/>
    <w:basedOn w:val="a"/>
    <w:link w:val="ac"/>
    <w:rsid w:val="0011394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13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139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139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11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11394D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11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11394D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11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11394D"/>
  </w:style>
  <w:style w:type="paragraph" w:styleId="af2">
    <w:name w:val="Title"/>
    <w:basedOn w:val="a"/>
    <w:link w:val="af3"/>
    <w:qFormat/>
    <w:rsid w:val="0011394D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1394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1139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11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2959</Words>
  <Characters>16868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«Бизнес-план»</vt:lpstr>
      <vt:lpstr>1. Описание предприятия и отрасли</vt:lpstr>
      <vt:lpstr>2. Описание товара (услуги)</vt:lpstr>
      <vt:lpstr>3. Анализ рынка</vt:lpstr>
      <vt:lpstr>4. План маркетинга</vt:lpstr>
      <vt:lpstr>5. Персонал и управление</vt:lpstr>
      <vt:lpstr>6. Производственный план</vt:lpstr>
      <vt:lpstr>7. Риски и страхование</vt:lpstr>
      <vt:lpstr>8. Финансовый план</vt:lpstr>
    </vt:vector>
  </TitlesOfParts>
  <Company>*</Company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2018-06-14T21:50:00Z</dcterms:created>
  <dcterms:modified xsi:type="dcterms:W3CDTF">2018-06-14T22:04:00Z</dcterms:modified>
</cp:coreProperties>
</file>