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от </w:t>
      </w:r>
      <w:r w:rsidRPr="00F61C72">
        <w:rPr>
          <w:rFonts w:eastAsia="Times New Roman" w:cs="Times New Roman"/>
          <w:color w:val="000000"/>
          <w:szCs w:val="24"/>
          <w:u w:val="single"/>
          <w:lang w:eastAsia="ru-RU"/>
        </w:rPr>
        <w:t>       07.07.2015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  №_</w:t>
      </w:r>
      <w:r w:rsidRPr="00F61C72">
        <w:rPr>
          <w:rFonts w:eastAsia="Times New Roman" w:cs="Times New Roman"/>
          <w:color w:val="000000"/>
          <w:szCs w:val="24"/>
          <w:u w:val="single"/>
          <w:lang w:eastAsia="ru-RU"/>
        </w:rPr>
        <w:t> _280 _</w:t>
      </w:r>
      <w:r w:rsidRPr="00F61C72">
        <w:rPr>
          <w:rFonts w:eastAsia="Times New Roman" w:cs="Times New Roman"/>
          <w:color w:val="000000"/>
          <w:szCs w:val="24"/>
          <w:lang w:eastAsia="ru-RU"/>
        </w:rPr>
        <w:t>_</w:t>
      </w:r>
    </w:p>
    <w:p w:rsidR="00F61C72" w:rsidRPr="00F61C72" w:rsidRDefault="00F61C72" w:rsidP="00F61C72">
      <w:pPr>
        <w:spacing w:after="0" w:line="240" w:lineRule="auto"/>
        <w:ind w:right="5385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right="4961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О Комиссии по предоставлению финансовой поддержки (грантов) начинающим субъектам малого предпринимательства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(см. постановление от </w:t>
      </w:r>
      <w:hyperlink r:id="rId6" w:tgtFrame="_blank" w:history="1">
        <w:r w:rsidRPr="00F61C72">
          <w:rPr>
            <w:rFonts w:eastAsia="Times New Roman" w:cs="Times New Roman"/>
            <w:color w:val="0000FF"/>
            <w:szCs w:val="24"/>
            <w:lang w:eastAsia="ru-RU"/>
          </w:rPr>
          <w:t>13.11.2015 № 484</w:t>
        </w:r>
      </w:hyperlink>
      <w:r w:rsidRPr="00F61C72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7" w:tgtFrame="_blank" w:history="1">
        <w:r w:rsidRPr="00F61C72">
          <w:rPr>
            <w:rFonts w:eastAsia="Times New Roman" w:cs="Times New Roman"/>
            <w:color w:val="0000FF"/>
            <w:szCs w:val="24"/>
            <w:lang w:eastAsia="ru-RU"/>
          </w:rPr>
          <w:t>01.06.2016 № 221</w:t>
        </w:r>
      </w:hyperlink>
      <w:r w:rsidRPr="00F61C72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  <w:r w:rsidRPr="00F61C72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 xml:space="preserve">В целях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F61C7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F61C7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61C72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F61C72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2015 год», утвержденной постановлением Администрации Усть-Большерецкого муниципального района от </w:t>
      </w:r>
      <w:hyperlink r:id="rId8" w:tgtFrame="_blank" w:history="1">
        <w:r w:rsidRPr="00F61C72">
          <w:rPr>
            <w:rFonts w:eastAsia="Times New Roman" w:cs="Times New Roman"/>
            <w:color w:val="0000FF"/>
            <w:szCs w:val="24"/>
            <w:lang w:eastAsia="ru-RU"/>
          </w:rPr>
          <w:t>03.02.2015 № 22</w:t>
        </w:r>
      </w:hyperlink>
      <w:r w:rsidRPr="00F61C72">
        <w:rPr>
          <w:rFonts w:eastAsia="Times New Roman" w:cs="Times New Roman"/>
          <w:color w:val="000000"/>
          <w:szCs w:val="24"/>
          <w:lang w:eastAsia="ru-RU"/>
        </w:rPr>
        <w:t>, Администрация Усть-Большерецкого муниципального района </w:t>
      </w:r>
    </w:p>
    <w:p w:rsidR="00F61C72" w:rsidRPr="00F61C72" w:rsidRDefault="00F61C72" w:rsidP="00F61C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F61C72" w:rsidRPr="00F61C72" w:rsidRDefault="00F61C72" w:rsidP="00F61C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Создать Комиссию по предоставлению финансовой поддержки (грантов) начинающим субъектам малого предпринимательства.</w:t>
      </w:r>
    </w:p>
    <w:p w:rsidR="00F61C72" w:rsidRPr="00F61C72" w:rsidRDefault="00F61C72" w:rsidP="00F61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Утвердить:</w:t>
      </w:r>
    </w:p>
    <w:p w:rsidR="00F61C72" w:rsidRPr="00F61C72" w:rsidRDefault="00F61C72" w:rsidP="00F61C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1)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положение о Комиссии по предоставлению финансовой поддержки (грантов) начинающим субъектам малого предпринимательства согласно приложению № 1 к настоящему постановлению;</w:t>
      </w:r>
    </w:p>
    <w:p w:rsidR="00F61C72" w:rsidRPr="00F61C72" w:rsidRDefault="00F61C72" w:rsidP="00F61C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2)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состав Комиссии по предоставлению финансовой поддержки (грантов) начинающим субъектам малого предпринимательства согласно приложению № 2 к настоящему постановлению.</w:t>
      </w:r>
    </w:p>
    <w:p w:rsidR="00F61C72" w:rsidRPr="00F61C72" w:rsidRDefault="00F61C72" w:rsidP="00F61C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 в информационно-телекоммуникационной сети «Интернет».</w:t>
      </w:r>
    </w:p>
    <w:p w:rsidR="00F61C72" w:rsidRPr="00F61C72" w:rsidRDefault="00F61C72" w:rsidP="00F61C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 после дня его официального обнародования и распространяется  на правоотношения, возникшие с 01.01.2015 года.</w:t>
      </w:r>
    </w:p>
    <w:p w:rsidR="00F61C72" w:rsidRPr="00F61C72" w:rsidRDefault="00F61C72" w:rsidP="00F61C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F61C72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F61C72">
        <w:rPr>
          <w:rFonts w:eastAsia="Times New Roman" w:cs="Times New Roman"/>
          <w:color w:val="000000"/>
          <w:szCs w:val="24"/>
          <w:lang w:eastAsia="ru-RU"/>
        </w:rPr>
        <w:t> исполнением настоящего постановления возложить на заместителя Главы Администрации Усть-Большерецкого муниципального района.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муниципального района                                                                               К.Ю. Деникеев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1</w:t>
      </w:r>
    </w:p>
    <w:p w:rsidR="00F61C72" w:rsidRPr="00F61C72" w:rsidRDefault="00F61C72" w:rsidP="00F61C72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Усть-Большерецкого муниципального района от 07.07.2015 № 280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Комиссии по предоставлению финансовой поддержки (грантов) начинающим субъектам малого предпринимательства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numPr>
          <w:ilvl w:val="0"/>
          <w:numId w:val="3"/>
        </w:numPr>
        <w:spacing w:after="0" w:line="276" w:lineRule="atLeast"/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1.1.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Настоящее Положение определяет порядок работы Комиссии по предоставлению финансовой поддержки (грантов) начинающим субъектам малого предпринимательства (далее - Комиссия) в соответствии с Порядок предоставления финансовой поддержки (грантов) начинающим субъектам малого предпринимательства на создание собственного бизнеса (далее – Порядок).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1.2.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Комиссия в своей деятельности руководствуется: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1)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законодательством Российской Федерации, иными нормативными правовыми актами Российской Федерации;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2)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законодательством Камчатского края, иными нормативными правовыми актами Камчатского края;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нормативными правовыми актами Усть-Большерецкого муниципального района;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4)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Порядком предоставления финансовой поддержки (грантов) начинающим субъектам малого предпринимательства на создание собственного бизнеса, утвержденным Администрацией Усть-Большерецкого муниципального района;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5)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настоящим Положением.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1.3.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Основными принципами деятельности Комиссии являются создание равных условий для СМП при предоставлении финансовой поддержк</w:t>
      </w:r>
      <w:proofErr w:type="gramStart"/>
      <w:r w:rsidRPr="00F61C72">
        <w:rPr>
          <w:rFonts w:eastAsia="Times New Roman" w:cs="Times New Roman"/>
          <w:color w:val="000000"/>
          <w:szCs w:val="24"/>
          <w:lang w:eastAsia="ru-RU"/>
        </w:rPr>
        <w:t>и(</w:t>
      </w:r>
      <w:proofErr w:type="gramEnd"/>
      <w:r w:rsidRPr="00F61C72">
        <w:rPr>
          <w:rFonts w:eastAsia="Times New Roman" w:cs="Times New Roman"/>
          <w:color w:val="000000"/>
          <w:szCs w:val="24"/>
          <w:lang w:eastAsia="ru-RU"/>
        </w:rPr>
        <w:t>грантов) начинающим субъектам малого предпринимательства (далее – финансовая поддержка), а также единство предъявляемых к ним требований.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numPr>
          <w:ilvl w:val="0"/>
          <w:numId w:val="4"/>
        </w:numPr>
        <w:spacing w:after="0" w:line="276" w:lineRule="atLeast"/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Цели и функции Комиссии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2.1.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Комиссия создана в целях принятия решения о предоставлении либо об отказе в предоставлении СМП финансовой поддержки, а также рассмотрения иных вопросов, касающихся реализации Порядка и договоров (соглашений) о предоставлении СМП финансовой поддержки.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2.2.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Для достижения поставленных целей комиссия выполняет следующие функции: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1) рассматривает заявления СМП на предоставление финансовой поддержки и прилагаемые к ним документы (далее – заявки) на соответствие требованиям, установленным Порядком;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 xml:space="preserve">2) проводит оценку соответствия СМП, </w:t>
      </w:r>
      <w:proofErr w:type="gramStart"/>
      <w:r w:rsidRPr="00F61C72">
        <w:rPr>
          <w:rFonts w:eastAsia="Times New Roman" w:cs="Times New Roman"/>
          <w:color w:val="000000"/>
          <w:szCs w:val="24"/>
          <w:lang w:eastAsia="ru-RU"/>
        </w:rPr>
        <w:t>представивших</w:t>
      </w:r>
      <w:proofErr w:type="gramEnd"/>
      <w:r w:rsidRPr="00F61C72">
        <w:rPr>
          <w:rFonts w:eastAsia="Times New Roman" w:cs="Times New Roman"/>
          <w:color w:val="000000"/>
          <w:szCs w:val="24"/>
          <w:lang w:eastAsia="ru-RU"/>
        </w:rPr>
        <w:t xml:space="preserve"> заявки, на соответствие условиям, установленным Порядком;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3) проводит анализ и оценку бизнес-планов СМП, представивших заявки, на предмет соответствия критериям оценки, определенным Администрацией Усть-Большерецкого муниципального района;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lastRenderedPageBreak/>
        <w:t>4) принимает решение о предоставлении СМП финансовой поддержки либо об отказе СМП в предоставлении финансовой поддержки;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5) в случае нарушений СМП условий предоставления финансовой поддержки, установленных Порядком и договорами (соглашениями) о предоставлении СМП финансовой поддержки – принимает решение о возврате СМП полученных средств финансовой поддержки;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6) рассматривает иные вопросы, касающиеся реализации Порядка и договоров (соглашений) о предоставлении финансовой поддержки.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2.3. Комиссия вправе: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1) приглашать СМП, представивших заявления на предоставление финансовой поддержки, на заседания Комиссии для получения разъяснений по представленным документам;</w:t>
      </w:r>
    </w:p>
    <w:p w:rsidR="00F61C72" w:rsidRPr="00F61C72" w:rsidRDefault="00F61C72" w:rsidP="00F61C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2) приглашать для участия в заседаниях комиссии экспертов и специалистов без права голоса.</w:t>
      </w:r>
    </w:p>
    <w:p w:rsidR="00F61C72" w:rsidRPr="00F61C72" w:rsidRDefault="00F61C72" w:rsidP="00F61C72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numPr>
          <w:ilvl w:val="0"/>
          <w:numId w:val="5"/>
        </w:numPr>
        <w:spacing w:after="0" w:line="276" w:lineRule="atLeast"/>
        <w:ind w:left="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 работы Комиссии</w:t>
      </w:r>
    </w:p>
    <w:p w:rsidR="00F61C72" w:rsidRPr="00F61C72" w:rsidRDefault="00F61C72" w:rsidP="00F61C72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3.1.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В состав Комиссии входят председатель Комиссии, заместитель председателя Комиссии, секретарь комиссии и другие члены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3.2.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Заседания Комиссии считаются правомочными, если на них присутствует более половины общего количества ее членов.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3.3.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3.4.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Председатель Комиссии: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1)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осуществляет руководство деятельностью Комиссии;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2)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назначает заседания Комиссии;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проводит заседания Комиссии, подписывает протоколы заседаний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3.5.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В отсутствие председателя Комиссии его функции осуществляет заместитель председателя Комиссии. В случае отсутствия председателя Комиссии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F61C72" w:rsidRPr="00F61C72" w:rsidRDefault="00F61C72" w:rsidP="00F61C72">
      <w:pPr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3.6.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Секретарь комиссии: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1)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организует подготовку заседаний Комиссии;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2)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не позднее 2-х рабочих дней до дня проведения заседания Комиссии обеспечивает информирование членов Комиссии о дате, месте и времени проведения заседания Комиссии, о вопросах, включенных в повестку дня заседания Комиссии;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ведет и подписывает протоколы заседаний Комиссии и обеспечивает передачу их на хранение;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4)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осуществляет иные функции, связанные с организационной деятельностью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3.7.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В период отсутствия секретаря Комиссии по уважительным причинам (отпуск, командировка, нетрудоспособность) его функции может выполнять любой член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3.8.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Члены Комиссии: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1) выражают мнение по вопросам, вынесенным для рассмотрения на заседание комиссии;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2) голосуют по вопросам повестки заседания комиссии;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3) выполняют поручения председателя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3.9.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Решения Комиссии оформляются протоколом, который подписывается председателем Комиссии или лицом, председательствующим на заседании Комиссии, и секретарем Комиссии.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3.10.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Заседания Комиссии проводятся в очной форме по мере необходимости.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3.11.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В случае необходимости 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:rsidR="00F61C72" w:rsidRPr="00F61C72" w:rsidRDefault="00F61C72" w:rsidP="00F61C72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 w:val="20"/>
          <w:szCs w:val="20"/>
          <w:lang w:eastAsia="ru-RU"/>
        </w:rPr>
        <w:t>3.12.</w:t>
      </w:r>
      <w:r w:rsidRPr="00F61C72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F61C72">
        <w:rPr>
          <w:rFonts w:eastAsia="Times New Roman" w:cs="Times New Roman"/>
          <w:color w:val="000000"/>
          <w:szCs w:val="24"/>
          <w:lang w:eastAsia="ru-RU"/>
        </w:rPr>
        <w:t>Комиссия не осуществляет переписки с претендентами на получение финансовой поддержки, документы которых отклонены. Мотивы отклонения документов претендентам не сообщаются. Представленные на конкурсный отбор документы не  рецензируются и не возвращаются.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61C72" w:rsidRPr="00F61C72" w:rsidRDefault="00F61C72" w:rsidP="00F61C7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2</w:t>
      </w:r>
    </w:p>
    <w:p w:rsidR="00F61C72" w:rsidRPr="00F61C72" w:rsidRDefault="00F61C72" w:rsidP="00F61C72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Усть-Большерецкого муниципального района от 07.07.2015 № 280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Состав</w:t>
      </w:r>
    </w:p>
    <w:p w:rsidR="00F61C72" w:rsidRPr="00F61C72" w:rsidRDefault="00F61C72" w:rsidP="00F61C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Комиссии по предоставлению финансовой поддержки (грантов) начинающим субъектам малого предпринимательства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61C72" w:rsidRPr="00F61C72" w:rsidRDefault="00F61C72" w:rsidP="00F61C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Логинов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Василий Иванович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Козьмина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руководитель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Кравченко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Татьяна Борисовна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главный специалист-эксперт Управления экономической политики Администрации Усть-Большерецкого муниципального района, секретарь Комиссии;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61C72">
              <w:rPr>
                <w:rFonts w:eastAsia="Times New Roman" w:cs="Times New Roman"/>
                <w:szCs w:val="24"/>
                <w:lang w:eastAsia="ru-RU"/>
              </w:rPr>
              <w:t>Жеребова</w:t>
            </w:r>
            <w:proofErr w:type="spellEnd"/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Оксана Николаевна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Власова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61C72">
              <w:rPr>
                <w:rFonts w:eastAsia="Times New Roman" w:cs="Times New Roman"/>
                <w:szCs w:val="24"/>
                <w:lang w:eastAsia="ru-RU"/>
              </w:rPr>
              <w:t>Аксана</w:t>
            </w:r>
            <w:proofErr w:type="spellEnd"/>
            <w:r w:rsidRPr="00F61C72">
              <w:rPr>
                <w:rFonts w:eastAsia="Times New Roman" w:cs="Times New Roman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61C72">
              <w:rPr>
                <w:rFonts w:eastAsia="Times New Roman" w:cs="Times New Roman"/>
                <w:szCs w:val="24"/>
                <w:lang w:eastAsia="ru-RU"/>
              </w:rPr>
              <w:t>Квитко</w:t>
            </w:r>
            <w:proofErr w:type="spellEnd"/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Борис Борисович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председатель Комитета по управлению муниципальным имуществом Администрации Усть-Большерецкого муниципального района;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Левченко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Александр Владимировна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61C72">
              <w:rPr>
                <w:rFonts w:eastAsia="Times New Roman" w:cs="Times New Roman"/>
                <w:szCs w:val="24"/>
                <w:lang w:eastAsia="ru-RU"/>
              </w:rPr>
              <w:t>Синатос</w:t>
            </w:r>
            <w:proofErr w:type="spellEnd"/>
          </w:p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Мария Николаевна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</w:tc>
      </w:tr>
      <w:tr w:rsidR="00F61C72" w:rsidRPr="00F61C72" w:rsidTr="00F61C7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72" w:rsidRPr="00F61C72" w:rsidRDefault="00F61C72" w:rsidP="00F61C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61C7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3488C" w:rsidRPr="00F61C72" w:rsidRDefault="00F61C72" w:rsidP="00F61C7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61C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bookmarkStart w:id="0" w:name="_GoBack"/>
      <w:bookmarkEnd w:id="0"/>
    </w:p>
    <w:sectPr w:rsidR="0073488C" w:rsidRPr="00F6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DA"/>
    <w:multiLevelType w:val="multilevel"/>
    <w:tmpl w:val="A71C8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B4522"/>
    <w:multiLevelType w:val="multilevel"/>
    <w:tmpl w:val="CF30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F25D1"/>
    <w:multiLevelType w:val="multilevel"/>
    <w:tmpl w:val="D690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7490"/>
    <w:multiLevelType w:val="multilevel"/>
    <w:tmpl w:val="074EB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E06E3"/>
    <w:multiLevelType w:val="multilevel"/>
    <w:tmpl w:val="A476D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9"/>
    <w:rsid w:val="0073488C"/>
    <w:rsid w:val="007F1369"/>
    <w:rsid w:val="00F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EC30E5F-B614-4008-AD09-629ECCD8AAD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B38C8FFB-3204-4239-9502-79D1C8A75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E870999-867E-4D36-AECA-9A9FADD2F9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2019-10-15T03:27:00Z</dcterms:created>
  <dcterms:modified xsi:type="dcterms:W3CDTF">2019-10-15T03:28:00Z</dcterms:modified>
</cp:coreProperties>
</file>