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25" w:rsidRDefault="0029459F" w:rsidP="002E6B25">
      <w:pPr>
        <w:shd w:val="clear" w:color="auto" w:fill="FFFFFF"/>
        <w:spacing w:before="230"/>
        <w:jc w:val="center"/>
        <w:rPr>
          <w:color w:val="000000"/>
          <w:spacing w:val="-12"/>
          <w:sz w:val="50"/>
          <w:szCs w:val="50"/>
        </w:rPr>
      </w:pPr>
      <w:r>
        <w:rPr>
          <w:b/>
          <w:noProof/>
          <w:sz w:val="18"/>
        </w:rPr>
        <w:drawing>
          <wp:inline distT="0" distB="0" distL="0" distR="0">
            <wp:extent cx="511810" cy="634365"/>
            <wp:effectExtent l="0" t="0" r="254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DF" w:rsidRPr="004D03DF" w:rsidRDefault="004D03DF" w:rsidP="004D03DF">
      <w:pPr>
        <w:jc w:val="center"/>
      </w:pPr>
    </w:p>
    <w:p w:rsidR="002E6B25" w:rsidRPr="0001744D" w:rsidRDefault="002E6B25" w:rsidP="004D03DF">
      <w:pPr>
        <w:jc w:val="center"/>
        <w:rPr>
          <w:b/>
        </w:rPr>
      </w:pPr>
      <w:r w:rsidRPr="0001744D">
        <w:rPr>
          <w:b/>
        </w:rPr>
        <w:t>ПОСТАНОВЛЕНИЕ</w:t>
      </w:r>
    </w:p>
    <w:p w:rsidR="004D03DF" w:rsidRPr="0001744D" w:rsidRDefault="004D03DF" w:rsidP="004D03DF">
      <w:pPr>
        <w:jc w:val="center"/>
        <w:rPr>
          <w:b/>
        </w:rPr>
      </w:pPr>
    </w:p>
    <w:p w:rsidR="0001744D" w:rsidRPr="0001744D" w:rsidRDefault="00CE2D08" w:rsidP="002E6B25">
      <w:pPr>
        <w:jc w:val="center"/>
        <w:rPr>
          <w:b/>
        </w:rPr>
      </w:pPr>
      <w:r>
        <w:rPr>
          <w:b/>
        </w:rPr>
        <w:t>АДМИНИСТРАЦИИ</w:t>
      </w:r>
      <w:r w:rsidR="00D61185">
        <w:rPr>
          <w:b/>
        </w:rPr>
        <w:t xml:space="preserve"> </w:t>
      </w:r>
      <w:r w:rsidR="002E6B25" w:rsidRPr="0001744D">
        <w:rPr>
          <w:b/>
        </w:rPr>
        <w:t>УСТЬ-БОЛЬШЕРЕЦКОГО</w:t>
      </w:r>
      <w:r w:rsidR="0001744D" w:rsidRPr="0001744D">
        <w:rPr>
          <w:b/>
        </w:rPr>
        <w:t xml:space="preserve"> </w:t>
      </w:r>
      <w:r w:rsidR="002E6B25" w:rsidRPr="0001744D">
        <w:rPr>
          <w:b/>
        </w:rPr>
        <w:t xml:space="preserve">МУНИЦИПАЛЬНОГО РАЙОНА </w:t>
      </w:r>
    </w:p>
    <w:p w:rsidR="002E6B25" w:rsidRDefault="002E6B25" w:rsidP="002E6B25">
      <w:pPr>
        <w:shd w:val="clear" w:color="auto" w:fill="FFFFFF"/>
        <w:rPr>
          <w:color w:val="000000"/>
          <w:spacing w:val="9"/>
          <w:sz w:val="22"/>
          <w:szCs w:val="22"/>
        </w:rPr>
      </w:pPr>
    </w:p>
    <w:p w:rsidR="00E23386" w:rsidRDefault="00E23386" w:rsidP="002E6B25">
      <w:pPr>
        <w:shd w:val="clear" w:color="auto" w:fill="FFFFFF"/>
        <w:rPr>
          <w:color w:val="000000"/>
          <w:spacing w:val="9"/>
          <w:sz w:val="22"/>
          <w:szCs w:val="22"/>
        </w:rPr>
      </w:pPr>
    </w:p>
    <w:p w:rsidR="002E6B25" w:rsidRDefault="002E6B25" w:rsidP="002E6B25">
      <w:pPr>
        <w:shd w:val="clear" w:color="auto" w:fill="FFFFFF"/>
        <w:rPr>
          <w:color w:val="000000"/>
          <w:spacing w:val="9"/>
          <w:sz w:val="22"/>
          <w:szCs w:val="22"/>
        </w:rPr>
      </w:pPr>
    </w:p>
    <w:p w:rsidR="00DE3345" w:rsidRDefault="00DE3345" w:rsidP="002E6B25">
      <w:pPr>
        <w:shd w:val="clear" w:color="auto" w:fill="FFFFFF"/>
        <w:rPr>
          <w:color w:val="000000"/>
          <w:spacing w:val="9"/>
        </w:rPr>
      </w:pPr>
    </w:p>
    <w:p w:rsidR="002E6B25" w:rsidRPr="00E23386" w:rsidRDefault="00E5645A" w:rsidP="003F3FE9">
      <w:pPr>
        <w:shd w:val="clear" w:color="auto" w:fill="FFFFFF"/>
        <w:rPr>
          <w:b/>
          <w:color w:val="000000"/>
          <w:spacing w:val="9"/>
        </w:rPr>
      </w:pPr>
      <w:r w:rsidRPr="00E23386">
        <w:rPr>
          <w:b/>
          <w:color w:val="000000"/>
          <w:spacing w:val="9"/>
        </w:rPr>
        <w:t>о</w:t>
      </w:r>
      <w:r w:rsidR="002E6B25" w:rsidRPr="00E23386">
        <w:rPr>
          <w:b/>
          <w:color w:val="000000"/>
          <w:spacing w:val="9"/>
        </w:rPr>
        <w:t>т</w:t>
      </w:r>
      <w:r w:rsidRPr="00E23386">
        <w:rPr>
          <w:b/>
          <w:color w:val="000000"/>
          <w:spacing w:val="9"/>
        </w:rPr>
        <w:t xml:space="preserve"> </w:t>
      </w:r>
      <w:r w:rsidR="001524DC" w:rsidRPr="00604521">
        <w:rPr>
          <w:b/>
          <w:color w:val="000000"/>
          <w:spacing w:val="9"/>
          <w:u w:val="single"/>
        </w:rPr>
        <w:t xml:space="preserve">    </w:t>
      </w:r>
      <w:r w:rsidR="001524DC" w:rsidRPr="001524DC">
        <w:rPr>
          <w:b/>
          <w:color w:val="000000"/>
          <w:spacing w:val="9"/>
          <w:u w:val="single"/>
        </w:rPr>
        <w:t>24.10.2017</w:t>
      </w:r>
      <w:r w:rsidR="001524DC" w:rsidRPr="00604521">
        <w:rPr>
          <w:b/>
          <w:color w:val="000000"/>
          <w:spacing w:val="9"/>
          <w:u w:val="single"/>
        </w:rPr>
        <w:t xml:space="preserve">     </w:t>
      </w:r>
      <w:r w:rsidRPr="00604521">
        <w:rPr>
          <w:b/>
          <w:color w:val="000000"/>
          <w:spacing w:val="9"/>
          <w:u w:val="single"/>
        </w:rPr>
        <w:t xml:space="preserve"> </w:t>
      </w:r>
      <w:r w:rsidR="001524DC" w:rsidRPr="00604521">
        <w:rPr>
          <w:b/>
          <w:color w:val="000000"/>
          <w:spacing w:val="9"/>
          <w:u w:val="single"/>
        </w:rPr>
        <w:t xml:space="preserve"> </w:t>
      </w:r>
      <w:r w:rsidR="001524DC">
        <w:rPr>
          <w:b/>
          <w:color w:val="000000"/>
          <w:spacing w:val="9"/>
        </w:rPr>
        <w:t xml:space="preserve"> </w:t>
      </w:r>
      <w:r w:rsidR="002E6B25" w:rsidRPr="00E23386">
        <w:rPr>
          <w:b/>
          <w:color w:val="000000"/>
          <w:spacing w:val="9"/>
        </w:rPr>
        <w:t>№</w:t>
      </w:r>
      <w:r w:rsidR="007F280E">
        <w:rPr>
          <w:b/>
          <w:color w:val="000000"/>
          <w:spacing w:val="9"/>
        </w:rPr>
        <w:t xml:space="preserve"> </w:t>
      </w:r>
      <w:r w:rsidR="00604521">
        <w:rPr>
          <w:b/>
          <w:color w:val="000000"/>
          <w:spacing w:val="9"/>
        </w:rPr>
        <w:t xml:space="preserve"> </w:t>
      </w:r>
      <w:r w:rsidR="00604521" w:rsidRPr="009D1827">
        <w:rPr>
          <w:b/>
          <w:color w:val="000000"/>
          <w:spacing w:val="9"/>
          <w:u w:val="single"/>
        </w:rPr>
        <w:t xml:space="preserve">                 </w:t>
      </w:r>
      <w:r w:rsidR="001524DC" w:rsidRPr="001524DC">
        <w:rPr>
          <w:b/>
          <w:color w:val="000000"/>
          <w:spacing w:val="9"/>
          <w:u w:val="single"/>
        </w:rPr>
        <w:t>410</w:t>
      </w:r>
      <w:r w:rsidR="009D1827">
        <w:rPr>
          <w:b/>
          <w:color w:val="000000"/>
          <w:spacing w:val="9"/>
          <w:u w:val="single"/>
        </w:rPr>
        <w:t xml:space="preserve">           </w:t>
      </w:r>
      <w:r w:rsidR="009D1827" w:rsidRPr="009D1827">
        <w:rPr>
          <w:b/>
          <w:color w:val="000000"/>
          <w:spacing w:val="9"/>
          <w:sz w:val="2"/>
          <w:szCs w:val="2"/>
          <w:u w:val="single"/>
        </w:rPr>
        <w:t>.</w:t>
      </w:r>
    </w:p>
    <w:p w:rsidR="004D03DF" w:rsidRPr="00E23386" w:rsidRDefault="004D03DF" w:rsidP="004D03DF">
      <w:pPr>
        <w:ind w:right="5420"/>
        <w:jc w:val="both"/>
        <w:rPr>
          <w:b/>
        </w:rPr>
      </w:pPr>
    </w:p>
    <w:p w:rsidR="0042542B" w:rsidRPr="0042542B" w:rsidRDefault="00B672D7" w:rsidP="003440A4">
      <w:pPr>
        <w:autoSpaceDE w:val="0"/>
        <w:autoSpaceDN w:val="0"/>
        <w:adjustRightInd w:val="0"/>
        <w:ind w:right="4960"/>
        <w:jc w:val="both"/>
        <w:rPr>
          <w:b/>
          <w:bCs/>
        </w:rPr>
      </w:pPr>
      <w:r w:rsidRPr="00B672D7">
        <w:rPr>
          <w:b/>
          <w:bCs/>
        </w:rPr>
        <w:t>Об утверждении целевых показателей эффективности деятельности муниципальных автономных, муниципальных бюджетных, муниципальных казенных учреждений и критериев оценки эффективности работы их руководителей</w:t>
      </w:r>
    </w:p>
    <w:p w:rsidR="0042542B" w:rsidRPr="0042542B" w:rsidRDefault="0042542B" w:rsidP="0042542B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42542B">
        <w:rPr>
          <w:b/>
          <w:bCs/>
        </w:rPr>
        <w:t xml:space="preserve"> </w:t>
      </w:r>
    </w:p>
    <w:p w:rsidR="0042542B" w:rsidRPr="0042542B" w:rsidRDefault="0042542B" w:rsidP="0042542B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42542B" w:rsidRPr="0042542B" w:rsidRDefault="0042542B" w:rsidP="0042542B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42542B">
        <w:rPr>
          <w:b/>
          <w:bCs/>
        </w:rPr>
        <w:t xml:space="preserve"> </w:t>
      </w:r>
    </w:p>
    <w:p w:rsidR="00B672D7" w:rsidRPr="00B672D7" w:rsidRDefault="0042542B" w:rsidP="00B672D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2542B">
        <w:rPr>
          <w:bCs/>
        </w:rPr>
        <w:t xml:space="preserve">  </w:t>
      </w:r>
      <w:proofErr w:type="gramStart"/>
      <w:r w:rsidR="00B672D7" w:rsidRPr="00B672D7">
        <w:rPr>
          <w:bCs/>
        </w:rPr>
        <w:t xml:space="preserve">В соответствии с Постановлением Правительства Российской Федерации от 12 апреля 2013 года </w:t>
      </w:r>
      <w:r w:rsidR="00B672D7">
        <w:rPr>
          <w:bCs/>
        </w:rPr>
        <w:t>№</w:t>
      </w:r>
      <w:r w:rsidR="00B672D7" w:rsidRPr="00B672D7">
        <w:rPr>
          <w:bCs/>
        </w:rPr>
        <w:t xml:space="preserve"> 329 </w:t>
      </w:r>
      <w:r w:rsidR="00B672D7">
        <w:rPr>
          <w:bCs/>
        </w:rPr>
        <w:t>«</w:t>
      </w:r>
      <w:r w:rsidR="00B672D7" w:rsidRPr="00B672D7">
        <w:rPr>
          <w:bCs/>
        </w:rPr>
        <w:t>О типовой форме трудового договора с руководителем государственного (муниципального) учреждения</w:t>
      </w:r>
      <w:r w:rsidR="00B672D7">
        <w:rPr>
          <w:bCs/>
        </w:rPr>
        <w:t>»</w:t>
      </w:r>
      <w:r w:rsidR="00B672D7" w:rsidRPr="00B672D7">
        <w:rPr>
          <w:bCs/>
        </w:rPr>
        <w:t xml:space="preserve">, распоряжением Правительства Российской Федерации от 26 ноября 2012 года </w:t>
      </w:r>
      <w:r w:rsidR="00B672D7">
        <w:rPr>
          <w:bCs/>
        </w:rPr>
        <w:t>№</w:t>
      </w:r>
      <w:r w:rsidR="00B672D7" w:rsidRPr="00B672D7">
        <w:rPr>
          <w:bCs/>
        </w:rPr>
        <w:t xml:space="preserve"> 2190-р </w:t>
      </w:r>
      <w:r w:rsidR="00B672D7">
        <w:rPr>
          <w:bCs/>
        </w:rPr>
        <w:t>«</w:t>
      </w:r>
      <w:r w:rsidR="00B672D7" w:rsidRPr="00B672D7">
        <w:rPr>
          <w:bCs/>
        </w:rPr>
        <w:t>Об утверждении Программы поэтапного совершенствования системы оплаты труда в государственных (муниципальных) учреждениях на 2012-2018 годы</w:t>
      </w:r>
      <w:r w:rsidR="00B672D7">
        <w:rPr>
          <w:bCs/>
        </w:rPr>
        <w:t>»</w:t>
      </w:r>
      <w:r w:rsidR="00B672D7" w:rsidRPr="00B672D7">
        <w:rPr>
          <w:bCs/>
        </w:rPr>
        <w:t>, Приказом Министерства труда и социальной защиты Российской Федерации от 26 апреля 2013</w:t>
      </w:r>
      <w:proofErr w:type="gramEnd"/>
      <w:r w:rsidR="00B672D7" w:rsidRPr="00B672D7">
        <w:rPr>
          <w:bCs/>
        </w:rPr>
        <w:t xml:space="preserve"> года </w:t>
      </w:r>
      <w:r w:rsidR="00B672D7">
        <w:rPr>
          <w:bCs/>
        </w:rPr>
        <w:t>№</w:t>
      </w:r>
      <w:r w:rsidR="00B672D7" w:rsidRPr="00B672D7">
        <w:rPr>
          <w:bCs/>
        </w:rPr>
        <w:t xml:space="preserve"> 167н </w:t>
      </w:r>
      <w:r w:rsidR="00B672D7">
        <w:rPr>
          <w:bCs/>
        </w:rPr>
        <w:t>«</w:t>
      </w:r>
      <w:r w:rsidR="00B672D7" w:rsidRPr="00B672D7">
        <w:rPr>
          <w:bCs/>
        </w:rPr>
        <w:t xml:space="preserve">Об утверждении рекомендаций по оформлению трудовых отношений </w:t>
      </w:r>
      <w:proofErr w:type="gramStart"/>
      <w:r w:rsidR="00B672D7" w:rsidRPr="00B672D7">
        <w:rPr>
          <w:bCs/>
        </w:rPr>
        <w:t>с</w:t>
      </w:r>
      <w:proofErr w:type="gramEnd"/>
      <w:r w:rsidR="00B672D7" w:rsidRPr="00B672D7">
        <w:rPr>
          <w:bCs/>
        </w:rPr>
        <w:t xml:space="preserve"> работником государственного (муниципального) учреждения при введении эффективного контракта</w:t>
      </w:r>
      <w:r w:rsidR="00B672D7">
        <w:rPr>
          <w:bCs/>
        </w:rPr>
        <w:t>»</w:t>
      </w:r>
      <w:r w:rsidR="00B672D7" w:rsidRPr="00B672D7">
        <w:rPr>
          <w:bCs/>
        </w:rPr>
        <w:t xml:space="preserve"> </w:t>
      </w:r>
      <w:r w:rsidR="00B672D7">
        <w:rPr>
          <w:bCs/>
        </w:rPr>
        <w:t>А</w:t>
      </w:r>
      <w:r w:rsidR="00B672D7" w:rsidRPr="00B672D7">
        <w:rPr>
          <w:bCs/>
        </w:rPr>
        <w:t xml:space="preserve">дминистрация </w:t>
      </w:r>
      <w:r w:rsidR="00B672D7">
        <w:rPr>
          <w:bCs/>
        </w:rPr>
        <w:t>Усть-Большерецкого муниципального района</w:t>
      </w:r>
    </w:p>
    <w:p w:rsidR="00B672D7" w:rsidRDefault="00B672D7" w:rsidP="00B672D7">
      <w:pPr>
        <w:autoSpaceDE w:val="0"/>
        <w:autoSpaceDN w:val="0"/>
        <w:adjustRightInd w:val="0"/>
        <w:jc w:val="both"/>
        <w:rPr>
          <w:b/>
          <w:bCs/>
        </w:rPr>
      </w:pPr>
    </w:p>
    <w:p w:rsidR="00B672D7" w:rsidRPr="00EA25C6" w:rsidRDefault="00B672D7" w:rsidP="00B672D7">
      <w:pPr>
        <w:autoSpaceDE w:val="0"/>
        <w:autoSpaceDN w:val="0"/>
        <w:adjustRightInd w:val="0"/>
        <w:jc w:val="both"/>
        <w:rPr>
          <w:b/>
          <w:bCs/>
        </w:rPr>
      </w:pPr>
      <w:r w:rsidRPr="00EA25C6">
        <w:rPr>
          <w:b/>
          <w:bCs/>
        </w:rPr>
        <w:t>ПОСТАНОВЛ</w:t>
      </w:r>
      <w:r>
        <w:rPr>
          <w:b/>
          <w:bCs/>
        </w:rPr>
        <w:t>Я</w:t>
      </w:r>
      <w:r w:rsidRPr="00EA25C6">
        <w:rPr>
          <w:b/>
          <w:bCs/>
        </w:rPr>
        <w:t>ЕТ:</w:t>
      </w:r>
    </w:p>
    <w:p w:rsidR="00B672D7" w:rsidRPr="00B672D7" w:rsidRDefault="00B672D7" w:rsidP="00B672D7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B672D7" w:rsidRDefault="00B672D7" w:rsidP="00B672D7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bCs/>
        </w:rPr>
      </w:pPr>
      <w:r w:rsidRPr="00B672D7">
        <w:rPr>
          <w:bCs/>
        </w:rPr>
        <w:t>Утвердить прилагаемые целевые показатели эффективности деятельности муниципальных автономных, муниципальных бюджетных, муниципальных казенных учреждений и критерии оценки эффективности работы их руководителей</w:t>
      </w:r>
      <w:r>
        <w:rPr>
          <w:bCs/>
        </w:rPr>
        <w:t xml:space="preserve"> согласно Приложению к настоящему постановлению</w:t>
      </w:r>
      <w:r w:rsidRPr="00B672D7">
        <w:rPr>
          <w:bCs/>
        </w:rPr>
        <w:t>.</w:t>
      </w:r>
    </w:p>
    <w:p w:rsidR="008C0F7D" w:rsidRDefault="008C0F7D" w:rsidP="008C0F7D">
      <w:pPr>
        <w:tabs>
          <w:tab w:val="left" w:pos="1134"/>
        </w:tabs>
        <w:autoSpaceDE w:val="0"/>
        <w:autoSpaceDN w:val="0"/>
        <w:adjustRightInd w:val="0"/>
        <w:ind w:left="720"/>
        <w:jc w:val="both"/>
        <w:rPr>
          <w:bCs/>
        </w:rPr>
      </w:pPr>
    </w:p>
    <w:p w:rsidR="00B672D7" w:rsidRDefault="00B672D7" w:rsidP="00B672D7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bCs/>
        </w:rPr>
      </w:pPr>
      <w:r w:rsidRPr="00B672D7">
        <w:rPr>
          <w:bCs/>
        </w:rPr>
        <w:t>Руководителям функциональных органов Администрации Усть-Большерецкого муниципального района, осуществляющих функции и полномочия учредителя муниципальных автономных, муниципальных бюджетных, муниципальных казенных учреждений, до 1 сентября 2017 г.:</w:t>
      </w:r>
    </w:p>
    <w:p w:rsidR="008C0F7D" w:rsidRDefault="008C0F7D" w:rsidP="008C0F7D">
      <w:pPr>
        <w:tabs>
          <w:tab w:val="left" w:pos="1134"/>
        </w:tabs>
        <w:autoSpaceDE w:val="0"/>
        <w:autoSpaceDN w:val="0"/>
        <w:adjustRightInd w:val="0"/>
        <w:jc w:val="both"/>
        <w:rPr>
          <w:bCs/>
        </w:rPr>
      </w:pPr>
    </w:p>
    <w:p w:rsidR="00B672D7" w:rsidRDefault="00B672D7" w:rsidP="00B379E0">
      <w:pPr>
        <w:pStyle w:val="a6"/>
        <w:numPr>
          <w:ilvl w:val="0"/>
          <w:numId w:val="15"/>
        </w:numPr>
        <w:tabs>
          <w:tab w:val="left" w:pos="1276"/>
        </w:tabs>
        <w:adjustRightInd w:val="0"/>
        <w:jc w:val="both"/>
        <w:rPr>
          <w:bCs/>
          <w:sz w:val="24"/>
          <w:szCs w:val="24"/>
        </w:rPr>
      </w:pPr>
      <w:proofErr w:type="gramStart"/>
      <w:r w:rsidRPr="00B379E0">
        <w:rPr>
          <w:bCs/>
          <w:sz w:val="24"/>
          <w:szCs w:val="24"/>
        </w:rPr>
        <w:t>обеспечить внесение изменений в отраслевые положения о системах оплаты труда работников муниципальных автономных, муниципальных бюджетных, муниципальных казенных учреждений в части установления стимулирующих выплат руководителям, заместителям руководителей и главным бухгалтерам муниципальных автономных, муниципальных бюджетных, муниципальных казенных учреждений с учетом целевых показателей эффективности деятельности муниципальных автономных, муниципальных бюджетных, муниципальных казенных учреждений и критериев оценки эффективности работы их руководителей;</w:t>
      </w:r>
      <w:proofErr w:type="gramEnd"/>
    </w:p>
    <w:p w:rsidR="00B379E0" w:rsidRDefault="00B379E0" w:rsidP="00B379E0">
      <w:pPr>
        <w:pStyle w:val="a6"/>
        <w:tabs>
          <w:tab w:val="left" w:pos="1276"/>
        </w:tabs>
        <w:adjustRightInd w:val="0"/>
        <w:ind w:left="1080"/>
        <w:jc w:val="both"/>
        <w:rPr>
          <w:bCs/>
          <w:sz w:val="24"/>
          <w:szCs w:val="24"/>
        </w:rPr>
      </w:pPr>
    </w:p>
    <w:p w:rsidR="00B672D7" w:rsidRPr="00B379E0" w:rsidRDefault="00B672D7" w:rsidP="00B379E0">
      <w:pPr>
        <w:pStyle w:val="a6"/>
        <w:numPr>
          <w:ilvl w:val="0"/>
          <w:numId w:val="15"/>
        </w:numPr>
        <w:tabs>
          <w:tab w:val="left" w:pos="1276"/>
        </w:tabs>
        <w:adjustRightInd w:val="0"/>
        <w:jc w:val="both"/>
        <w:rPr>
          <w:bCs/>
          <w:sz w:val="24"/>
          <w:szCs w:val="24"/>
        </w:rPr>
      </w:pPr>
      <w:r w:rsidRPr="00B379E0">
        <w:rPr>
          <w:bCs/>
          <w:sz w:val="24"/>
          <w:szCs w:val="24"/>
        </w:rPr>
        <w:t xml:space="preserve">разработать и утвердить отраслевые показатели деятельности муниципальных автономных, муниципальных бюджетных, муниципальных казенных учреждений, предусмотренные целевыми показателями эффективности деятельности </w:t>
      </w:r>
      <w:r w:rsidRPr="00B379E0">
        <w:rPr>
          <w:bCs/>
          <w:sz w:val="24"/>
          <w:szCs w:val="24"/>
        </w:rPr>
        <w:lastRenderedPageBreak/>
        <w:t>муниципальных автономных, муниципальных бюджетных, муниципальных казенных учреждений и критериями оценки эффективности работы их руководителей, утвержденными настоящим Постановлением.</w:t>
      </w:r>
    </w:p>
    <w:p w:rsidR="00B672D7" w:rsidRPr="00B672D7" w:rsidRDefault="00B672D7" w:rsidP="00B672D7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B672D7" w:rsidRDefault="00B672D7" w:rsidP="008C0F7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bCs/>
        </w:rPr>
      </w:pPr>
      <w:r w:rsidRPr="00B672D7">
        <w:rPr>
          <w:bCs/>
        </w:rPr>
        <w:t>Руководителям муниципальных автономных, муниципальных бюджетных, муниципальных казенных учреждений разработать и утвердить своим локальным нормативным актом целевые показатели эффективности работы для заместителей руководителей, главных бухгалтеров и основных категорий работников.</w:t>
      </w:r>
    </w:p>
    <w:p w:rsidR="008C0F7D" w:rsidRDefault="008C0F7D" w:rsidP="008C0F7D">
      <w:pPr>
        <w:tabs>
          <w:tab w:val="left" w:pos="1134"/>
        </w:tabs>
        <w:autoSpaceDE w:val="0"/>
        <w:autoSpaceDN w:val="0"/>
        <w:adjustRightInd w:val="0"/>
        <w:ind w:left="720"/>
        <w:jc w:val="both"/>
        <w:rPr>
          <w:bCs/>
        </w:rPr>
      </w:pPr>
    </w:p>
    <w:p w:rsidR="00B672D7" w:rsidRDefault="00B672D7" w:rsidP="008C0F7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bCs/>
        </w:rPr>
      </w:pPr>
      <w:r w:rsidRPr="008C0F7D">
        <w:rPr>
          <w:bCs/>
        </w:rP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8C0F7D" w:rsidRDefault="008C0F7D" w:rsidP="008C0F7D">
      <w:pPr>
        <w:tabs>
          <w:tab w:val="left" w:pos="1134"/>
        </w:tabs>
        <w:autoSpaceDE w:val="0"/>
        <w:autoSpaceDN w:val="0"/>
        <w:adjustRightInd w:val="0"/>
        <w:jc w:val="both"/>
        <w:rPr>
          <w:bCs/>
        </w:rPr>
      </w:pPr>
    </w:p>
    <w:p w:rsidR="00B672D7" w:rsidRPr="008C0F7D" w:rsidRDefault="00B672D7" w:rsidP="008C0F7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bCs/>
        </w:rPr>
      </w:pPr>
      <w:r w:rsidRPr="00DE3345">
        <w:t xml:space="preserve">Настоящее постановление вступает в силу после </w:t>
      </w:r>
      <w:r>
        <w:t>дня его официального обнародован</w:t>
      </w:r>
      <w:r w:rsidRPr="00DE3345">
        <w:t>ия</w:t>
      </w:r>
      <w:r>
        <w:t>.</w:t>
      </w:r>
    </w:p>
    <w:p w:rsidR="008C0F7D" w:rsidRPr="008C0F7D" w:rsidRDefault="008C0F7D" w:rsidP="008C0F7D">
      <w:pPr>
        <w:tabs>
          <w:tab w:val="left" w:pos="1134"/>
        </w:tabs>
        <w:autoSpaceDE w:val="0"/>
        <w:autoSpaceDN w:val="0"/>
        <w:adjustRightInd w:val="0"/>
        <w:jc w:val="both"/>
        <w:rPr>
          <w:bCs/>
        </w:rPr>
      </w:pPr>
    </w:p>
    <w:p w:rsidR="00B672D7" w:rsidRPr="008C0F7D" w:rsidRDefault="00B672D7" w:rsidP="0026464A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bCs/>
        </w:rPr>
      </w:pPr>
      <w:proofErr w:type="gramStart"/>
      <w:r w:rsidRPr="00DE3345">
        <w:t>Контроль за</w:t>
      </w:r>
      <w:proofErr w:type="gramEnd"/>
      <w:r w:rsidRPr="00DE3345">
        <w:t xml:space="preserve"> исполнением настоящего постановления </w:t>
      </w:r>
      <w:r w:rsidR="008C0F7D">
        <w:t>возложить на руководител</w:t>
      </w:r>
      <w:r w:rsidR="0026464A">
        <w:t>ей</w:t>
      </w:r>
      <w:r w:rsidR="008C0F7D">
        <w:t xml:space="preserve"> </w:t>
      </w:r>
      <w:r w:rsidR="0026464A" w:rsidRPr="0026464A">
        <w:t>функциональных органов Администрации Усть-Большерецкого муниципального района, осуществляющих функции и полномочия учредителя муниципальных автономных, муниципальных бюджетных, муниципальных казенных учреждений</w:t>
      </w:r>
      <w:r w:rsidRPr="00DE3345">
        <w:t>.</w:t>
      </w:r>
    </w:p>
    <w:p w:rsidR="003F3FE9" w:rsidRDefault="003F3FE9" w:rsidP="0042542B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8C0F7D" w:rsidRPr="0042542B" w:rsidRDefault="008C0F7D" w:rsidP="0042542B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2E6B25" w:rsidRPr="00DE3345" w:rsidRDefault="002E6B25" w:rsidP="002E6B25">
      <w:r w:rsidRPr="00DE3345">
        <w:t>Глав</w:t>
      </w:r>
      <w:r w:rsidR="00054680">
        <w:t>а</w:t>
      </w:r>
      <w:r w:rsidRPr="00DE3345">
        <w:t xml:space="preserve"> Усть-Большерецкого </w:t>
      </w:r>
    </w:p>
    <w:p w:rsidR="002E6B25" w:rsidRDefault="002E6B25" w:rsidP="002E6B25">
      <w:r w:rsidRPr="00DE3345">
        <w:t>муниципального района</w:t>
      </w:r>
      <w:r w:rsidRPr="00DE3345">
        <w:tab/>
      </w:r>
      <w:r w:rsidRPr="00DE3345">
        <w:tab/>
        <w:t xml:space="preserve"> </w:t>
      </w:r>
      <w:r w:rsidRPr="00DE3345">
        <w:tab/>
      </w:r>
      <w:r w:rsidRPr="00DE3345">
        <w:tab/>
        <w:t xml:space="preserve">    </w:t>
      </w:r>
      <w:r w:rsidRPr="00DE3345">
        <w:tab/>
      </w:r>
      <w:r w:rsidRPr="00DE3345">
        <w:tab/>
      </w:r>
      <w:r w:rsidR="004D03DF" w:rsidRPr="00DE3345">
        <w:t xml:space="preserve"> </w:t>
      </w:r>
      <w:r w:rsidR="004D03DF" w:rsidRPr="00DE3345">
        <w:tab/>
      </w:r>
      <w:r w:rsidR="00054680">
        <w:tab/>
        <w:t xml:space="preserve">         </w:t>
      </w:r>
      <w:r w:rsidR="003440A4">
        <w:t xml:space="preserve">К.Ю. </w:t>
      </w:r>
      <w:proofErr w:type="spellStart"/>
      <w:r w:rsidR="003440A4">
        <w:t>Деникеев</w:t>
      </w:r>
      <w:proofErr w:type="spellEnd"/>
    </w:p>
    <w:p w:rsidR="00054680" w:rsidRPr="00ED64C7" w:rsidRDefault="008A7F88" w:rsidP="00054680">
      <w:pPr>
        <w:jc w:val="center"/>
      </w:pPr>
      <w:r>
        <w:br w:type="page"/>
      </w:r>
      <w:r w:rsidR="00054680" w:rsidRPr="00ED64C7">
        <w:lastRenderedPageBreak/>
        <w:t>Лист согласования</w:t>
      </w:r>
    </w:p>
    <w:p w:rsidR="00054680" w:rsidRPr="00ED64C7" w:rsidRDefault="00054680" w:rsidP="00054680"/>
    <w:p w:rsidR="00054680" w:rsidRPr="00640B1D" w:rsidRDefault="00054680" w:rsidP="00054680">
      <w:r w:rsidRPr="00640B1D">
        <w:t xml:space="preserve">Подготовил: </w:t>
      </w:r>
    </w:p>
    <w:p w:rsidR="00054680" w:rsidRPr="00640B1D" w:rsidRDefault="00054680" w:rsidP="00054680"/>
    <w:p w:rsidR="00054680" w:rsidRPr="00640B1D" w:rsidRDefault="00054680" w:rsidP="00054680">
      <w:r w:rsidRPr="00640B1D">
        <w:t xml:space="preserve">- </w:t>
      </w:r>
      <w:r>
        <w:t>Михалко М.Н.</w:t>
      </w:r>
      <w:r w:rsidRPr="00640B1D">
        <w:t xml:space="preserve"> – </w:t>
      </w:r>
      <w:r>
        <w:t>зам.</w:t>
      </w:r>
      <w:r w:rsidR="00B455CD">
        <w:t xml:space="preserve"> </w:t>
      </w:r>
      <w:r>
        <w:t>председателя КУМИ</w:t>
      </w:r>
      <w:r>
        <w:tab/>
      </w:r>
      <w:r>
        <w:tab/>
      </w:r>
      <w:r>
        <w:tab/>
        <w:t>___________________</w:t>
      </w:r>
    </w:p>
    <w:p w:rsidR="00054680" w:rsidRPr="00640B1D" w:rsidRDefault="00054680" w:rsidP="00054680"/>
    <w:p w:rsidR="00054680" w:rsidRPr="00640B1D" w:rsidRDefault="00054680" w:rsidP="00054680"/>
    <w:p w:rsidR="00054680" w:rsidRPr="00640B1D" w:rsidRDefault="00054680" w:rsidP="00054680">
      <w:r w:rsidRPr="00640B1D">
        <w:t>Согласовано:</w:t>
      </w:r>
    </w:p>
    <w:p w:rsidR="00054680" w:rsidRPr="00640B1D" w:rsidRDefault="00054680" w:rsidP="00054680"/>
    <w:p w:rsidR="00054680" w:rsidRDefault="00054680" w:rsidP="00054680">
      <w:r w:rsidRPr="00640B1D">
        <w:t xml:space="preserve">- </w:t>
      </w:r>
      <w:r>
        <w:t>Квитко Б.Б.</w:t>
      </w:r>
      <w:r w:rsidRPr="00640B1D">
        <w:t xml:space="preserve"> – </w:t>
      </w:r>
      <w:r>
        <w:t>председатель КУМИ</w:t>
      </w:r>
      <w:r w:rsidRPr="00640B1D">
        <w:t xml:space="preserve"> </w:t>
      </w:r>
      <w:r>
        <w:tab/>
      </w:r>
      <w:r>
        <w:tab/>
      </w:r>
      <w:r>
        <w:tab/>
      </w:r>
      <w:r>
        <w:tab/>
      </w:r>
      <w:r w:rsidRPr="00640B1D">
        <w:t>___________________</w:t>
      </w:r>
    </w:p>
    <w:p w:rsidR="00054680" w:rsidRDefault="00054680" w:rsidP="00054680"/>
    <w:p w:rsidR="00054680" w:rsidRPr="00640B1D" w:rsidRDefault="00054680" w:rsidP="00054680">
      <w:r>
        <w:t xml:space="preserve">- </w:t>
      </w:r>
      <w:proofErr w:type="spellStart"/>
      <w:r w:rsidR="00601AEB">
        <w:t>Синатос</w:t>
      </w:r>
      <w:proofErr w:type="spellEnd"/>
      <w:r w:rsidR="00601AEB">
        <w:t xml:space="preserve"> М.Н.</w:t>
      </w:r>
      <w:r>
        <w:t xml:space="preserve"> – </w:t>
      </w:r>
      <w:proofErr w:type="spellStart"/>
      <w:r w:rsidR="00601AEB">
        <w:t>и.о</w:t>
      </w:r>
      <w:proofErr w:type="spellEnd"/>
      <w:r w:rsidR="00601AEB">
        <w:t>. руководителя</w:t>
      </w:r>
      <w:r>
        <w:t xml:space="preserve"> Финансового управления</w:t>
      </w:r>
      <w:r>
        <w:tab/>
        <w:t>___________________</w:t>
      </w:r>
    </w:p>
    <w:p w:rsidR="00054680" w:rsidRPr="00640B1D" w:rsidRDefault="00054680" w:rsidP="00054680"/>
    <w:p w:rsidR="00054680" w:rsidRDefault="00054680" w:rsidP="00054680">
      <w:r w:rsidRPr="00640B1D">
        <w:t>-</w:t>
      </w:r>
      <w:r>
        <w:t xml:space="preserve"> </w:t>
      </w:r>
      <w:r w:rsidR="00601AEB">
        <w:t>Кокорина Т</w:t>
      </w:r>
      <w:r w:rsidR="007217A6">
        <w:t>.</w:t>
      </w:r>
      <w:r w:rsidR="00601AEB">
        <w:t>Е.</w:t>
      </w:r>
      <w:r w:rsidR="007217A6" w:rsidRPr="00640B1D">
        <w:t xml:space="preserve"> </w:t>
      </w:r>
      <w:r w:rsidRPr="00640B1D">
        <w:t>–</w:t>
      </w:r>
      <w:r w:rsidR="00601AEB">
        <w:t xml:space="preserve"> </w:t>
      </w:r>
      <w:proofErr w:type="spellStart"/>
      <w:r w:rsidR="00601AEB">
        <w:t>и.о</w:t>
      </w:r>
      <w:proofErr w:type="spellEnd"/>
      <w:r w:rsidR="00601AEB">
        <w:t xml:space="preserve">. </w:t>
      </w:r>
      <w:r w:rsidR="007217A6">
        <w:t>начальник</w:t>
      </w:r>
      <w:r w:rsidR="00601AEB">
        <w:t>а</w:t>
      </w:r>
      <w:r w:rsidRPr="00640B1D">
        <w:t xml:space="preserve"> </w:t>
      </w:r>
      <w:r w:rsidR="007217A6">
        <w:t>правового</w:t>
      </w:r>
      <w:r>
        <w:t xml:space="preserve"> отдела </w:t>
      </w:r>
      <w:r>
        <w:tab/>
      </w:r>
      <w:r w:rsidR="00B455CD">
        <w:tab/>
      </w:r>
      <w:r>
        <w:t>___</w:t>
      </w:r>
      <w:r w:rsidRPr="00640B1D">
        <w:t>________________</w:t>
      </w:r>
    </w:p>
    <w:p w:rsidR="00054680" w:rsidRPr="00640B1D" w:rsidRDefault="00054680" w:rsidP="00054680"/>
    <w:p w:rsidR="00054680" w:rsidRPr="00640B1D" w:rsidRDefault="00054680" w:rsidP="00054680"/>
    <w:p w:rsidR="00054680" w:rsidRPr="00640B1D" w:rsidRDefault="00054680" w:rsidP="00054680">
      <w:r w:rsidRPr="00640B1D">
        <w:t>Разослать:</w:t>
      </w:r>
    </w:p>
    <w:p w:rsidR="00054680" w:rsidRPr="00640B1D" w:rsidRDefault="00054680" w:rsidP="00054680"/>
    <w:p w:rsidR="00054680" w:rsidRDefault="00054680" w:rsidP="00054680">
      <w:pPr>
        <w:numPr>
          <w:ilvl w:val="0"/>
          <w:numId w:val="5"/>
        </w:numPr>
        <w:tabs>
          <w:tab w:val="clear" w:pos="720"/>
        </w:tabs>
        <w:ind w:left="426"/>
      </w:pPr>
      <w:r w:rsidRPr="00640B1D">
        <w:t xml:space="preserve">Комитет по управлению муниципальным имуществом Администрации Усть-Большерецкого муниципального района – </w:t>
      </w:r>
      <w:r w:rsidR="005108C4">
        <w:t>2</w:t>
      </w:r>
      <w:r w:rsidRPr="00640B1D">
        <w:t xml:space="preserve"> экз.</w:t>
      </w:r>
    </w:p>
    <w:p w:rsidR="003F3FE9" w:rsidRDefault="003F3FE9" w:rsidP="003F3FE9">
      <w:pPr>
        <w:ind w:left="426"/>
      </w:pPr>
    </w:p>
    <w:p w:rsidR="00054680" w:rsidRDefault="005108C4" w:rsidP="00054680">
      <w:pPr>
        <w:numPr>
          <w:ilvl w:val="0"/>
          <w:numId w:val="5"/>
        </w:numPr>
        <w:tabs>
          <w:tab w:val="clear" w:pos="720"/>
        </w:tabs>
        <w:ind w:left="426"/>
      </w:pPr>
      <w:r>
        <w:t>Финансовое управление</w:t>
      </w:r>
      <w:r w:rsidR="00054680" w:rsidRPr="00640B1D">
        <w:t xml:space="preserve"> Администрации Усть-Большерецкого муниципального района – </w:t>
      </w:r>
      <w:r w:rsidR="00054680">
        <w:t>1</w:t>
      </w:r>
      <w:r w:rsidR="00054680" w:rsidRPr="00640B1D">
        <w:t xml:space="preserve"> экз.</w:t>
      </w:r>
    </w:p>
    <w:p w:rsidR="003F3FE9" w:rsidRDefault="003F3FE9" w:rsidP="003F3FE9"/>
    <w:p w:rsidR="00B455CD" w:rsidRPr="00640B1D" w:rsidRDefault="00B455CD" w:rsidP="00054680">
      <w:pPr>
        <w:numPr>
          <w:ilvl w:val="0"/>
          <w:numId w:val="5"/>
        </w:numPr>
        <w:tabs>
          <w:tab w:val="clear" w:pos="720"/>
        </w:tabs>
        <w:ind w:left="426"/>
      </w:pPr>
      <w:r>
        <w:t>Для публикации на сайт – 1 экз.</w:t>
      </w:r>
    </w:p>
    <w:p w:rsidR="00054680" w:rsidRPr="00640B1D" w:rsidRDefault="00054680" w:rsidP="00054680">
      <w:pPr>
        <w:ind w:left="720"/>
      </w:pPr>
    </w:p>
    <w:p w:rsidR="00054680" w:rsidRPr="00DE3345" w:rsidRDefault="00054680" w:rsidP="002E6B25"/>
    <w:p w:rsidR="001002F7" w:rsidRPr="009609F1" w:rsidRDefault="001002F7" w:rsidP="009609F1">
      <w:pPr>
        <w:pStyle w:val="a9"/>
        <w:jc w:val="both"/>
        <w:rPr>
          <w:sz w:val="28"/>
          <w:szCs w:val="28"/>
          <w:lang w:val="ru-RU"/>
        </w:rPr>
      </w:pPr>
    </w:p>
    <w:p w:rsidR="004D3FFC" w:rsidRPr="004D3FFC" w:rsidRDefault="004D3FFC" w:rsidP="00C428C0">
      <w:pPr>
        <w:ind w:left="4820"/>
        <w:jc w:val="both"/>
        <w:rPr>
          <w:lang w:val="ru"/>
        </w:rPr>
      </w:pPr>
      <w:r>
        <w:rPr>
          <w:sz w:val="28"/>
          <w:szCs w:val="28"/>
          <w:lang w:val="ru"/>
        </w:rPr>
        <w:br w:type="page"/>
      </w:r>
      <w:r w:rsidR="008C0F7D">
        <w:rPr>
          <w:lang w:val="ru"/>
        </w:rPr>
        <w:lastRenderedPageBreak/>
        <w:t xml:space="preserve">Приложение </w:t>
      </w:r>
      <w:r w:rsidRPr="004D3FFC">
        <w:rPr>
          <w:lang w:val="ru"/>
        </w:rPr>
        <w:t xml:space="preserve">к постановлению Администрации </w:t>
      </w:r>
      <w:r w:rsidR="008C0F7D">
        <w:rPr>
          <w:lang w:val="ru"/>
        </w:rPr>
        <w:t xml:space="preserve">                           </w:t>
      </w:r>
      <w:r w:rsidRPr="004D3FFC">
        <w:rPr>
          <w:lang w:val="ru"/>
        </w:rPr>
        <w:t>Усть-Большерецкого муниципального района</w:t>
      </w:r>
      <w:r w:rsidR="008C0F7D">
        <w:rPr>
          <w:lang w:val="ru"/>
        </w:rPr>
        <w:t xml:space="preserve">          «</w:t>
      </w:r>
      <w:r w:rsidR="008C0F7D" w:rsidRPr="00EE1E92">
        <w:t>Об утверждении целевых показателей эффективности деятельности муниципальных автономных, муниципальных бюджетных, муниципальных казенных учреждений и критериев оценки эффективности работы их руководителей</w:t>
      </w:r>
      <w:r w:rsidR="008C0F7D">
        <w:t>»</w:t>
      </w:r>
    </w:p>
    <w:p w:rsidR="004D3FFC" w:rsidRDefault="004D3FFC" w:rsidP="00C428C0">
      <w:pPr>
        <w:ind w:left="4820"/>
        <w:jc w:val="both"/>
        <w:rPr>
          <w:lang w:val="ru"/>
        </w:rPr>
      </w:pPr>
      <w:bookmarkStart w:id="0" w:name="_GoBack"/>
      <w:bookmarkEnd w:id="0"/>
    </w:p>
    <w:p w:rsidR="004D3FFC" w:rsidRDefault="00C428C0" w:rsidP="008C0F7D">
      <w:pPr>
        <w:ind w:left="4820"/>
        <w:rPr>
          <w:lang w:val="ru"/>
        </w:rPr>
      </w:pPr>
      <w:r w:rsidRPr="00C428C0">
        <w:rPr>
          <w:lang w:val="ru"/>
        </w:rPr>
        <w:t>от «</w:t>
      </w:r>
      <w:r w:rsidR="009D1827">
        <w:rPr>
          <w:lang w:val="ru"/>
        </w:rPr>
        <w:t>24</w:t>
      </w:r>
      <w:r w:rsidRPr="00C428C0">
        <w:rPr>
          <w:lang w:val="ru"/>
        </w:rPr>
        <w:t xml:space="preserve">» </w:t>
      </w:r>
      <w:r w:rsidR="009D1827">
        <w:rPr>
          <w:lang w:val="ru"/>
        </w:rPr>
        <w:t>октября</w:t>
      </w:r>
      <w:r w:rsidRPr="00C428C0">
        <w:rPr>
          <w:lang w:val="ru"/>
        </w:rPr>
        <w:t xml:space="preserve"> 201</w:t>
      </w:r>
      <w:r w:rsidR="008C0F7D">
        <w:rPr>
          <w:lang w:val="ru"/>
        </w:rPr>
        <w:t>7</w:t>
      </w:r>
      <w:r w:rsidRPr="00C428C0">
        <w:rPr>
          <w:lang w:val="ru"/>
        </w:rPr>
        <w:t xml:space="preserve">г. № </w:t>
      </w:r>
      <w:r w:rsidR="009D1827">
        <w:rPr>
          <w:lang w:val="ru"/>
        </w:rPr>
        <w:t>410</w:t>
      </w:r>
    </w:p>
    <w:p w:rsidR="004D3FFC" w:rsidRPr="004D3FFC" w:rsidRDefault="004D3FFC" w:rsidP="008F3D66">
      <w:pPr>
        <w:jc w:val="center"/>
        <w:rPr>
          <w:lang w:val="ru"/>
        </w:rPr>
      </w:pPr>
    </w:p>
    <w:p w:rsidR="006D304C" w:rsidRDefault="00B672D7" w:rsidP="006D304C">
      <w:pPr>
        <w:jc w:val="center"/>
        <w:outlineLvl w:val="1"/>
        <w:rPr>
          <w:b/>
          <w:bCs/>
        </w:rPr>
      </w:pPr>
      <w:r w:rsidRPr="00EE1E92">
        <w:rPr>
          <w:b/>
          <w:bCs/>
        </w:rPr>
        <w:t xml:space="preserve">ЦЕЛЕВЫЕ ПОКАЗАТЕЛИ ЭФФЕКТИВНОСТИ ДЕЯТЕЛЬНОСТИ </w:t>
      </w:r>
    </w:p>
    <w:p w:rsidR="00B672D7" w:rsidRPr="006D304C" w:rsidRDefault="00B672D7" w:rsidP="006D304C">
      <w:pPr>
        <w:jc w:val="center"/>
        <w:outlineLvl w:val="1"/>
        <w:rPr>
          <w:b/>
          <w:bCs/>
        </w:rPr>
      </w:pPr>
      <w:r w:rsidRPr="00EE1E92">
        <w:rPr>
          <w:b/>
          <w:bCs/>
        </w:rPr>
        <w:t>МУНИЦИПАЛЬНЫХ АВТОНОМНЫХ, МУНИЦИПАЛЬНЫХ БЮДЖЕТНЫХ, МУНИЦИПАЛЬНЫХ КАЗЕННЫХ УЧРЕЖДЕНИЙ И КРИТЕРИИ ОЦЕНКИ ЭФФЕКТИВНОСТИ РАБОТЫ ИХ РУКОВОДИТЕЛЕЙ</w:t>
      </w:r>
      <w:r w:rsidR="008C0F7D" w:rsidRPr="006D304C">
        <w:rPr>
          <w:rStyle w:val="af0"/>
          <w:b/>
          <w:bCs/>
        </w:rPr>
        <w:footnoteReference w:id="1"/>
      </w:r>
    </w:p>
    <w:p w:rsidR="008C0F7D" w:rsidRDefault="008C0F7D" w:rsidP="008C0F7D">
      <w:pPr>
        <w:jc w:val="both"/>
      </w:pPr>
    </w:p>
    <w:p w:rsidR="008C0F7D" w:rsidRDefault="00B672D7" w:rsidP="008C0F7D">
      <w:pPr>
        <w:ind w:firstLine="708"/>
        <w:jc w:val="both"/>
      </w:pPr>
      <w:r w:rsidRPr="00EE1E92">
        <w:t xml:space="preserve">Оценка выполнения целевых показателей эффективности деятельности муниципальных автономных, муниципальных бюджетных, муниципальных казенных учреждений производится функциональными органами </w:t>
      </w:r>
      <w:r w:rsidR="008C0F7D">
        <w:t>А</w:t>
      </w:r>
      <w:r w:rsidRPr="00EE1E92">
        <w:t xml:space="preserve">дминистрации </w:t>
      </w:r>
      <w:r w:rsidR="008C0F7D">
        <w:t>Усть-Большерецкого муниципального района</w:t>
      </w:r>
      <w:r w:rsidRPr="00EE1E92">
        <w:t xml:space="preserve">, осуществляющими функции и полномочия учредителя муниципальных автономных, муниципальных бюджетных, муниципальных казенных учреждений </w:t>
      </w:r>
      <w:r w:rsidR="008C0F7D">
        <w:t>Усть-Большерецкого муниципального района</w:t>
      </w:r>
      <w:r w:rsidR="00B455CD">
        <w:t xml:space="preserve"> (далее - У</w:t>
      </w:r>
      <w:r w:rsidRPr="00EE1E92">
        <w:t>чредитель).</w:t>
      </w:r>
    </w:p>
    <w:p w:rsidR="00B672D7" w:rsidRDefault="00B672D7" w:rsidP="008C0F7D">
      <w:pPr>
        <w:ind w:firstLine="708"/>
        <w:jc w:val="both"/>
      </w:pPr>
      <w:r w:rsidRPr="00EE1E92">
        <w:t>Оценка выполнения целевых показателей эффективности муниципальных автономных, муниципальных бюджетных, муниципальных ка</w:t>
      </w:r>
      <w:r w:rsidR="00B455CD">
        <w:t>зенных учреждений производится У</w:t>
      </w:r>
      <w:r w:rsidRPr="00EE1E92">
        <w:t>чредителем за месяц на основании таблицы 1, за квартал - таблицы 2, за год - таблицы 3.</w:t>
      </w:r>
    </w:p>
    <w:p w:rsidR="006171C1" w:rsidRPr="00EE1E92" w:rsidRDefault="006171C1" w:rsidP="008C0F7D">
      <w:pPr>
        <w:ind w:firstLine="708"/>
        <w:jc w:val="both"/>
      </w:pPr>
      <w:r>
        <w:t>Размеры стимулирующих выплат руководителям муниципальных автономных, муниципальных бюджетных, муниципальных казенных учреждений определяются учредителем на основе расчета суммы баллов за месяц согласно графам 1, 2 таблицы 4, за квартал - графам 3, 4 таблицы 4, за год - графам 5, 6 таблицы 4.</w:t>
      </w:r>
    </w:p>
    <w:p w:rsidR="008C0F7D" w:rsidRDefault="008C0F7D" w:rsidP="00B672D7">
      <w:pPr>
        <w:outlineLvl w:val="2"/>
        <w:rPr>
          <w:b/>
          <w:bCs/>
        </w:rPr>
      </w:pPr>
    </w:p>
    <w:p w:rsidR="008C0F7D" w:rsidRDefault="00B672D7" w:rsidP="008C0F7D">
      <w:pPr>
        <w:jc w:val="center"/>
        <w:outlineLvl w:val="2"/>
        <w:rPr>
          <w:b/>
          <w:bCs/>
        </w:rPr>
      </w:pPr>
      <w:r w:rsidRPr="00EE1E92">
        <w:rPr>
          <w:b/>
          <w:bCs/>
        </w:rPr>
        <w:t>ЕЖЕМЕСЯЧНЫЕ ЦЕЛЕВЫЕ ПОКАЗАТЕЛИ</w:t>
      </w:r>
    </w:p>
    <w:p w:rsidR="00B672D7" w:rsidRPr="00EE1E92" w:rsidRDefault="00B672D7" w:rsidP="008C0F7D">
      <w:pPr>
        <w:jc w:val="center"/>
        <w:outlineLvl w:val="2"/>
        <w:rPr>
          <w:b/>
          <w:bCs/>
        </w:rPr>
      </w:pPr>
      <w:r w:rsidRPr="00EE1E92">
        <w:rPr>
          <w:b/>
          <w:bCs/>
        </w:rPr>
        <w:t>эффективности деятельности муниципальных автономных, муниципальных бюджетных, муниципальных казенных учреждений и критерии оценки эффективности работы их руководителей</w:t>
      </w:r>
    </w:p>
    <w:p w:rsidR="00B672D7" w:rsidRPr="00EE1E92" w:rsidRDefault="00B672D7" w:rsidP="00B672D7">
      <w:pPr>
        <w:jc w:val="right"/>
      </w:pPr>
      <w:r w:rsidRPr="00EE1E92">
        <w:t xml:space="preserve">Таблица 1 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75"/>
        <w:gridCol w:w="3041"/>
        <w:gridCol w:w="1939"/>
        <w:gridCol w:w="329"/>
        <w:gridCol w:w="2495"/>
        <w:gridCol w:w="1802"/>
      </w:tblGrid>
      <w:tr w:rsidR="00B672D7" w:rsidRPr="00EE1E92" w:rsidTr="006D304C">
        <w:trPr>
          <w:cantSplit/>
          <w:tblCellSpacing w:w="15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N 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Источник информации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Критерии оценки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Количество баллов </w:t>
            </w:r>
          </w:p>
        </w:tc>
      </w:tr>
      <w:tr w:rsidR="00B672D7" w:rsidRPr="00EE1E92" w:rsidTr="006D304C">
        <w:trPr>
          <w:cantSplit/>
          <w:tblCellSpacing w:w="15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5 </w:t>
            </w:r>
          </w:p>
        </w:tc>
      </w:tr>
      <w:tr w:rsidR="00B672D7" w:rsidRPr="00EE1E92" w:rsidTr="006D304C">
        <w:trPr>
          <w:cantSplit/>
          <w:tblCellSpacing w:w="15" w:type="dxa"/>
        </w:trPr>
        <w:tc>
          <w:tcPr>
            <w:tcW w:w="100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b/>
                <w:sz w:val="20"/>
                <w:szCs w:val="20"/>
              </w:rPr>
            </w:pPr>
            <w:r w:rsidRPr="006D304C">
              <w:rPr>
                <w:b/>
                <w:sz w:val="20"/>
                <w:szCs w:val="20"/>
              </w:rPr>
              <w:t xml:space="preserve">I. Основная деятельность учреждения </w:t>
            </w:r>
          </w:p>
        </w:tc>
      </w:tr>
      <w:tr w:rsidR="00B672D7" w:rsidRPr="00EE1E92" w:rsidTr="006D304C">
        <w:trPr>
          <w:cantSplit/>
          <w:tblCellSpacing w:w="15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8C0F7D">
            <w:pPr>
              <w:rPr>
                <w:b/>
                <w:sz w:val="20"/>
                <w:szCs w:val="20"/>
              </w:rPr>
            </w:pPr>
            <w:proofErr w:type="gramStart"/>
            <w:r w:rsidRPr="006D304C">
              <w:rPr>
                <w:b/>
                <w:sz w:val="20"/>
                <w:szCs w:val="20"/>
              </w:rPr>
              <w:t>Удовлетворенность населения качеством предоставляемых учреждением муниципальных услуг (выполняемых работ) (устанавливается для учреждений, которые оказывают муниципальные услуги (выполняют работы)</w:t>
            </w:r>
            <w:r w:rsidR="007A2540">
              <w:rPr>
                <w:b/>
                <w:sz w:val="20"/>
                <w:szCs w:val="20"/>
              </w:rPr>
              <w:t xml:space="preserve"> </w:t>
            </w:r>
            <w:r w:rsidRPr="006D304C">
              <w:rPr>
                <w:b/>
                <w:sz w:val="20"/>
                <w:szCs w:val="20"/>
              </w:rPr>
              <w:t xml:space="preserve"> </w:t>
            </w:r>
            <w:r w:rsidR="008C0F7D" w:rsidRPr="006D304C">
              <w:rPr>
                <w:rStyle w:val="af0"/>
                <w:b/>
                <w:sz w:val="20"/>
                <w:szCs w:val="20"/>
              </w:rPr>
              <w:footnoteReference w:id="2"/>
            </w:r>
            <w:proofErr w:type="gramEnd"/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6D304C" w:rsidP="00DE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Администрации Усть-Большерецкого муниципального района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6D304C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результаты опроса населения </w:t>
            </w:r>
            <w:r w:rsidR="006D304C">
              <w:rPr>
                <w:sz w:val="20"/>
                <w:szCs w:val="20"/>
              </w:rPr>
              <w:t>Усть-Большерецкого района</w:t>
            </w:r>
            <w:r w:rsidRPr="006D304C">
              <w:rPr>
                <w:sz w:val="20"/>
                <w:szCs w:val="20"/>
              </w:rPr>
              <w:t xml:space="preserve"> о качестве и доступности предоставления муниципальных услуг учреждением на </w:t>
            </w:r>
            <w:r w:rsidR="006D304C">
              <w:rPr>
                <w:sz w:val="20"/>
                <w:szCs w:val="20"/>
              </w:rPr>
              <w:t>сайте Администрации Усть-Большерецкого муниципального района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8E63DB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текущий балл поставщика на </w:t>
            </w:r>
            <w:r w:rsidR="008E63DB">
              <w:rPr>
                <w:sz w:val="20"/>
                <w:szCs w:val="20"/>
              </w:rPr>
              <w:t>сайте</w:t>
            </w:r>
            <w:r w:rsidRPr="006D304C">
              <w:rPr>
                <w:sz w:val="20"/>
                <w:szCs w:val="20"/>
              </w:rPr>
              <w:t>:</w:t>
            </w:r>
            <w:r w:rsidRPr="006D304C">
              <w:rPr>
                <w:sz w:val="20"/>
                <w:szCs w:val="20"/>
              </w:rPr>
              <w:br/>
              <w:t>от 3,5 до 5 баллов - 5 баллов;</w:t>
            </w:r>
            <w:r w:rsidRPr="006D304C">
              <w:rPr>
                <w:sz w:val="20"/>
                <w:szCs w:val="20"/>
              </w:rPr>
              <w:br/>
              <w:t>от 2,5 до 3,4 балла - 3 балла;</w:t>
            </w:r>
            <w:r w:rsidRPr="006D304C">
              <w:rPr>
                <w:sz w:val="20"/>
                <w:szCs w:val="20"/>
              </w:rPr>
              <w:br/>
              <w:t xml:space="preserve">от 0 до 2,4 балла - 0 баллов </w:t>
            </w:r>
          </w:p>
        </w:tc>
      </w:tr>
      <w:tr w:rsidR="00B672D7" w:rsidRPr="00EE1E92" w:rsidTr="006D304C">
        <w:trPr>
          <w:cantSplit/>
          <w:tblCellSpacing w:w="15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b/>
                <w:sz w:val="20"/>
                <w:szCs w:val="20"/>
              </w:rPr>
            </w:pPr>
            <w:r w:rsidRPr="006D304C">
              <w:rPr>
                <w:b/>
                <w:sz w:val="20"/>
                <w:szCs w:val="20"/>
              </w:rPr>
              <w:t>Наличие письменных жалоб на качество оказания муниципальных услуг, поступивших от населения учредителю и в надзорные органы</w:t>
            </w:r>
            <w:r w:rsidR="006D304C">
              <w:rPr>
                <w:b/>
                <w:sz w:val="20"/>
                <w:szCs w:val="20"/>
              </w:rPr>
              <w:t>,</w:t>
            </w:r>
            <w:r w:rsidRPr="006D304C">
              <w:rPr>
                <w:b/>
                <w:sz w:val="20"/>
                <w:szCs w:val="20"/>
              </w:rPr>
              <w:t xml:space="preserve"> и признанных обоснованными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данные учредителя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отсутствие жалоб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5 баллов </w:t>
            </w:r>
          </w:p>
        </w:tc>
      </w:tr>
      <w:tr w:rsidR="00B672D7" w:rsidRPr="00EE1E92" w:rsidTr="006D304C">
        <w:trPr>
          <w:cantSplit/>
          <w:trHeight w:val="18"/>
          <w:tblCellSpacing w:w="15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наличие жалоб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0 баллов </w:t>
            </w:r>
          </w:p>
        </w:tc>
      </w:tr>
      <w:tr w:rsidR="00B672D7" w:rsidRPr="00EE1E92" w:rsidTr="006D304C">
        <w:trPr>
          <w:cantSplit/>
          <w:tblCellSpacing w:w="15" w:type="dxa"/>
        </w:trPr>
        <w:tc>
          <w:tcPr>
            <w:tcW w:w="100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b/>
                <w:sz w:val="20"/>
                <w:szCs w:val="20"/>
              </w:rPr>
            </w:pPr>
            <w:r w:rsidRPr="006D304C">
              <w:rPr>
                <w:b/>
                <w:sz w:val="20"/>
                <w:szCs w:val="20"/>
              </w:rPr>
              <w:t xml:space="preserve">II. Финансово-экономическая деятельность и исполнительская дисциплина </w:t>
            </w:r>
          </w:p>
        </w:tc>
      </w:tr>
      <w:tr w:rsidR="00B672D7" w:rsidRPr="00EE1E92" w:rsidTr="006D304C">
        <w:trPr>
          <w:cantSplit/>
          <w:tblCellSpacing w:w="15" w:type="dxa"/>
        </w:trPr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b/>
                <w:sz w:val="20"/>
                <w:szCs w:val="20"/>
              </w:rPr>
            </w:pPr>
            <w:r w:rsidRPr="006D304C">
              <w:rPr>
                <w:b/>
                <w:sz w:val="20"/>
                <w:szCs w:val="20"/>
              </w:rPr>
              <w:t xml:space="preserve">Своевременность представления месячных отчетов учредителю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данные учредителя </w:t>
            </w:r>
          </w:p>
        </w:tc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соблюдение сроков, установленных порядков и форм представления сведений, отчетов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4 балла </w:t>
            </w:r>
          </w:p>
        </w:tc>
      </w:tr>
      <w:tr w:rsidR="00B672D7" w:rsidRPr="00EE1E92" w:rsidTr="006D304C">
        <w:trPr>
          <w:cantSplit/>
          <w:tblCellSpacing w:w="15" w:type="dxa"/>
        </w:trPr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нарушение сроков, установленных порядков и форм представления сведений, отчетов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0 баллов </w:t>
            </w:r>
          </w:p>
        </w:tc>
      </w:tr>
      <w:tr w:rsidR="00B672D7" w:rsidRPr="008E63DB" w:rsidTr="006D304C">
        <w:trPr>
          <w:cantSplit/>
          <w:tblCellSpacing w:w="15" w:type="dxa"/>
        </w:trPr>
        <w:tc>
          <w:tcPr>
            <w:tcW w:w="100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8E63DB" w:rsidRDefault="00B672D7" w:rsidP="008E63DB">
            <w:pPr>
              <w:jc w:val="center"/>
              <w:rPr>
                <w:b/>
                <w:sz w:val="20"/>
                <w:szCs w:val="20"/>
              </w:rPr>
            </w:pPr>
            <w:r w:rsidRPr="008E63DB">
              <w:rPr>
                <w:b/>
                <w:sz w:val="20"/>
                <w:szCs w:val="20"/>
              </w:rPr>
              <w:t>Совокупная значимость всех критериев (ежемесячный итог) - 14 баллов</w:t>
            </w:r>
          </w:p>
        </w:tc>
      </w:tr>
    </w:tbl>
    <w:p w:rsidR="006D304C" w:rsidRDefault="006D304C" w:rsidP="00B672D7">
      <w:pPr>
        <w:outlineLvl w:val="2"/>
        <w:rPr>
          <w:b/>
          <w:bCs/>
        </w:rPr>
      </w:pPr>
    </w:p>
    <w:p w:rsidR="006D304C" w:rsidRDefault="00B672D7" w:rsidP="006D304C">
      <w:pPr>
        <w:jc w:val="center"/>
        <w:outlineLvl w:val="2"/>
        <w:rPr>
          <w:b/>
          <w:bCs/>
        </w:rPr>
      </w:pPr>
      <w:r w:rsidRPr="00EE1E92">
        <w:rPr>
          <w:b/>
          <w:bCs/>
        </w:rPr>
        <w:t>ЕЖЕКВАРТАЛЬНЫЕ ЦЕЛЕВЫЕ ПОКАЗАТЕЛИ</w:t>
      </w:r>
    </w:p>
    <w:p w:rsidR="00B672D7" w:rsidRPr="00EE1E92" w:rsidRDefault="00B672D7" w:rsidP="006D304C">
      <w:pPr>
        <w:jc w:val="center"/>
        <w:outlineLvl w:val="2"/>
        <w:rPr>
          <w:b/>
          <w:bCs/>
        </w:rPr>
      </w:pPr>
      <w:r w:rsidRPr="00EE1E92">
        <w:rPr>
          <w:b/>
          <w:bCs/>
        </w:rPr>
        <w:t>эффективности деятельности муниципальных автономных, муниципальных бюджетных, муниципальных казенных учреждений и критерии оценки эффективности работы их руководителей</w:t>
      </w:r>
    </w:p>
    <w:p w:rsidR="00B672D7" w:rsidRPr="00EE1E92" w:rsidRDefault="00B672D7" w:rsidP="00B672D7">
      <w:pPr>
        <w:jc w:val="right"/>
      </w:pPr>
      <w:r w:rsidRPr="00EE1E92">
        <w:br/>
        <w:t xml:space="preserve">Таблица 2 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2576"/>
        <w:gridCol w:w="2178"/>
        <w:gridCol w:w="3071"/>
        <w:gridCol w:w="1782"/>
      </w:tblGrid>
      <w:tr w:rsidR="00B672D7" w:rsidRPr="006D304C" w:rsidTr="007A2540">
        <w:trPr>
          <w:cantSplit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N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Источник информации 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Критерии оценки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Количество баллов </w:t>
            </w:r>
          </w:p>
        </w:tc>
      </w:tr>
      <w:tr w:rsidR="00B672D7" w:rsidRPr="006D304C" w:rsidTr="007A2540">
        <w:trPr>
          <w:cantSplit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5 </w:t>
            </w:r>
          </w:p>
        </w:tc>
      </w:tr>
      <w:tr w:rsidR="00B672D7" w:rsidRPr="006D304C" w:rsidTr="007A2540">
        <w:trPr>
          <w:cantSplit/>
          <w:tblCellSpacing w:w="15" w:type="dxa"/>
        </w:trPr>
        <w:tc>
          <w:tcPr>
            <w:tcW w:w="10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b/>
                <w:sz w:val="20"/>
                <w:szCs w:val="20"/>
              </w:rPr>
            </w:pPr>
            <w:r w:rsidRPr="006D304C">
              <w:rPr>
                <w:b/>
                <w:sz w:val="20"/>
                <w:szCs w:val="20"/>
              </w:rPr>
              <w:t xml:space="preserve">I. Основная деятельность учреждения </w:t>
            </w:r>
          </w:p>
        </w:tc>
      </w:tr>
      <w:tr w:rsidR="00B672D7" w:rsidRPr="006D304C" w:rsidTr="007A2540">
        <w:trPr>
          <w:cantSplit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b/>
                <w:sz w:val="20"/>
                <w:szCs w:val="20"/>
              </w:rPr>
            </w:pPr>
            <w:r w:rsidRPr="006D304C">
              <w:rPr>
                <w:b/>
                <w:sz w:val="20"/>
                <w:szCs w:val="20"/>
              </w:rPr>
              <w:t xml:space="preserve">Обеспечение информационной открытости учреждения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официальный сайт для размещения информации о деятельности государственных (муниципальных) учреждений www.bus.gov.ru 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7A2540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размещение информации об учреждении в соответствии с требованиями, </w:t>
            </w:r>
            <w:r w:rsidRPr="007A2540">
              <w:rPr>
                <w:sz w:val="20"/>
                <w:szCs w:val="20"/>
              </w:rPr>
              <w:t xml:space="preserve">установленными </w:t>
            </w:r>
            <w:hyperlink r:id="rId10" w:history="1">
              <w:r w:rsidRPr="007A2540">
                <w:rPr>
                  <w:sz w:val="20"/>
                  <w:szCs w:val="20"/>
                </w:rPr>
                <w:t xml:space="preserve">Приказом Министерства финансов Российской Федерации от 21 июля 2011 г. </w:t>
              </w:r>
              <w:r w:rsidR="007A2540" w:rsidRPr="007A2540">
                <w:rPr>
                  <w:sz w:val="20"/>
                  <w:szCs w:val="20"/>
                </w:rPr>
                <w:t>№</w:t>
              </w:r>
              <w:r w:rsidRPr="007A2540">
                <w:rPr>
                  <w:sz w:val="20"/>
                  <w:szCs w:val="20"/>
                </w:rPr>
                <w:t xml:space="preserve"> 86н</w:t>
              </w:r>
            </w:hyperlink>
            <w:r w:rsidRPr="006D304C">
              <w:rPr>
                <w:sz w:val="20"/>
                <w:szCs w:val="20"/>
              </w:rPr>
              <w:t xml:space="preserve">, на официальном сайте для размещения информации о деятельности государственных (муниципальных) учреждений www.bus.gov.ru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5 баллов </w:t>
            </w:r>
          </w:p>
        </w:tc>
      </w:tr>
      <w:tr w:rsidR="00B672D7" w:rsidRPr="006D304C" w:rsidTr="007A2540">
        <w:trPr>
          <w:cantSplit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размещение информации несвоевременно и не в полном объеме, размещение недостоверной информации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0 баллов </w:t>
            </w:r>
          </w:p>
        </w:tc>
      </w:tr>
      <w:tr w:rsidR="00B672D7" w:rsidRPr="006D304C" w:rsidTr="007A2540">
        <w:trPr>
          <w:cantSplit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7A2540">
            <w:pPr>
              <w:rPr>
                <w:sz w:val="20"/>
                <w:szCs w:val="20"/>
              </w:rPr>
            </w:pPr>
            <w:r w:rsidRPr="007A2540">
              <w:rPr>
                <w:b/>
                <w:sz w:val="20"/>
                <w:szCs w:val="20"/>
              </w:rPr>
              <w:t>Наличие собственного Интернет-сайта учреждения и обеспечение его поддержки в актуальном состоянии</w:t>
            </w:r>
            <w:r w:rsidRPr="006D304C">
              <w:rPr>
                <w:sz w:val="20"/>
                <w:szCs w:val="20"/>
              </w:rPr>
              <w:t xml:space="preserve"> </w:t>
            </w:r>
            <w:r w:rsidR="007A2540" w:rsidRPr="007A2540">
              <w:rPr>
                <w:rStyle w:val="af0"/>
                <w:b/>
                <w:sz w:val="20"/>
                <w:szCs w:val="20"/>
              </w:rPr>
              <w:footnoteReference w:id="3"/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Интернет-сайт учреждения 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обеспечение размещения информации об учреждении: визитная карточка учреждения, фамилия, имя, отчество руководителя учреждения, цели и задачи учреждения, отчет о результатах деятельности муниципального учреждения и использовании закрепленного за ним муниципального имущества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5 баллов </w:t>
            </w:r>
          </w:p>
        </w:tc>
      </w:tr>
      <w:tr w:rsidR="00B672D7" w:rsidRPr="006D304C" w:rsidTr="007A2540">
        <w:trPr>
          <w:cantSplit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наличие на Интернет-сайте учреждения неактуальной, недостоверной информации, отсутствие Интернет-сайта учреждения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0 баллов </w:t>
            </w:r>
          </w:p>
        </w:tc>
      </w:tr>
      <w:tr w:rsidR="00B672D7" w:rsidRPr="006D304C" w:rsidTr="007A2540">
        <w:trPr>
          <w:cantSplit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7A2540">
            <w:pPr>
              <w:rPr>
                <w:b/>
                <w:sz w:val="20"/>
                <w:szCs w:val="20"/>
              </w:rPr>
            </w:pPr>
            <w:proofErr w:type="gramStart"/>
            <w:r w:rsidRPr="007A2540">
              <w:rPr>
                <w:b/>
                <w:sz w:val="20"/>
                <w:szCs w:val="20"/>
              </w:rPr>
              <w:t xml:space="preserve">Выполнение учреждением муниципального задания на оказание муниципальных услуг (выполнение работ) (устанавливается для учреждений, которым утверждено муниципальное задание на оказание муниципальных услуг (выполнение работ) </w:t>
            </w:r>
            <w:r w:rsidR="007A2540" w:rsidRPr="007A2540">
              <w:rPr>
                <w:rStyle w:val="af0"/>
                <w:b/>
                <w:sz w:val="20"/>
                <w:szCs w:val="20"/>
              </w:rPr>
              <w:footnoteReference w:id="4"/>
            </w:r>
            <w:proofErr w:type="gramEnd"/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>отчет учреждения о выполнении муниципального задания на оказание муниципальных услуг (выполнение работ)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7A2540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>муниципальное задание на оказание муниципальных услуг (выполнение работ) выполнено</w:t>
            </w:r>
            <w:r w:rsidR="007A2540" w:rsidRPr="007A2540">
              <w:rPr>
                <w:rStyle w:val="af0"/>
                <w:b/>
                <w:sz w:val="20"/>
                <w:szCs w:val="20"/>
              </w:rPr>
              <w:footnoteReference w:id="5"/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20 баллов </w:t>
            </w:r>
          </w:p>
        </w:tc>
      </w:tr>
      <w:tr w:rsidR="00B672D7" w:rsidRPr="006D304C" w:rsidTr="007A2540">
        <w:trPr>
          <w:cantSplit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муниципальное задание на оказание муниципальных услуг (выполнение работ) не выполнено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0 баллов </w:t>
            </w:r>
          </w:p>
        </w:tc>
      </w:tr>
      <w:tr w:rsidR="00B672D7" w:rsidRPr="006D304C" w:rsidTr="007A2540">
        <w:trPr>
          <w:cantSplit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rPr>
                <w:b/>
                <w:sz w:val="20"/>
                <w:szCs w:val="20"/>
              </w:rPr>
            </w:pPr>
            <w:r w:rsidRPr="007A2540">
              <w:rPr>
                <w:b/>
                <w:sz w:val="20"/>
                <w:szCs w:val="20"/>
              </w:rPr>
              <w:t xml:space="preserve">Выполнение отраслевых показателей деятельности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данные учредителя 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достижение установленных учреждению учредителем отраслевых показателей деятельности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40 баллов </w:t>
            </w:r>
          </w:p>
        </w:tc>
      </w:tr>
      <w:tr w:rsidR="00B672D7" w:rsidRPr="006D304C" w:rsidTr="007A2540">
        <w:trPr>
          <w:cantSplit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proofErr w:type="spellStart"/>
            <w:r w:rsidRPr="006D304C">
              <w:rPr>
                <w:sz w:val="20"/>
                <w:szCs w:val="20"/>
              </w:rPr>
              <w:t>недостижение</w:t>
            </w:r>
            <w:proofErr w:type="spellEnd"/>
            <w:r w:rsidRPr="006D304C">
              <w:rPr>
                <w:sz w:val="20"/>
                <w:szCs w:val="20"/>
              </w:rPr>
              <w:t xml:space="preserve"> установленных учреждению учредителем отраслевых показателей деятельности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0 баллов </w:t>
            </w:r>
          </w:p>
        </w:tc>
      </w:tr>
      <w:tr w:rsidR="00B672D7" w:rsidRPr="007A2540" w:rsidTr="007A2540">
        <w:trPr>
          <w:cantSplit/>
          <w:tblCellSpacing w:w="15" w:type="dxa"/>
        </w:trPr>
        <w:tc>
          <w:tcPr>
            <w:tcW w:w="10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b/>
                <w:sz w:val="20"/>
                <w:szCs w:val="20"/>
              </w:rPr>
            </w:pPr>
            <w:r w:rsidRPr="007A2540">
              <w:rPr>
                <w:b/>
                <w:sz w:val="20"/>
                <w:szCs w:val="20"/>
              </w:rPr>
              <w:t xml:space="preserve">II. Финансово-экономическая деятельность и исполнительская дисциплина </w:t>
            </w:r>
          </w:p>
        </w:tc>
      </w:tr>
      <w:tr w:rsidR="00B672D7" w:rsidRPr="006D304C" w:rsidTr="007A2540">
        <w:trPr>
          <w:cantSplit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7A2540">
            <w:pPr>
              <w:rPr>
                <w:b/>
                <w:sz w:val="20"/>
                <w:szCs w:val="20"/>
              </w:rPr>
            </w:pPr>
            <w:r w:rsidRPr="007A2540">
              <w:rPr>
                <w:b/>
                <w:sz w:val="20"/>
                <w:szCs w:val="20"/>
              </w:rPr>
              <w:t xml:space="preserve">Своевременность представления квартальных отчетов учредителю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7A2540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>данные учредителя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7A2540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>соблюдение сроков, установленных порядков и форм представления сведений, отчетов, в том числе ежеквартальных отчетов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5 баллов </w:t>
            </w:r>
          </w:p>
        </w:tc>
      </w:tr>
      <w:tr w:rsidR="00B672D7" w:rsidRPr="006D304C" w:rsidTr="007A2540">
        <w:trPr>
          <w:cantSplit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7A2540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>нарушение сроков, установленных порядков и форм представления сведений, отчетов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0 баллов </w:t>
            </w:r>
          </w:p>
        </w:tc>
      </w:tr>
      <w:tr w:rsidR="00B672D7" w:rsidRPr="006D304C" w:rsidTr="007A2540">
        <w:trPr>
          <w:cantSplit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rPr>
                <w:b/>
                <w:sz w:val="20"/>
                <w:szCs w:val="20"/>
              </w:rPr>
            </w:pPr>
            <w:r w:rsidRPr="007A2540">
              <w:rPr>
                <w:b/>
                <w:sz w:val="20"/>
                <w:szCs w:val="20"/>
              </w:rPr>
              <w:t xml:space="preserve">Целевое и эффективное использование бюджетных средств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данные учредителя 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средств, отсутствие задолженности в бюджеты различных уровней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5 баллов </w:t>
            </w:r>
          </w:p>
        </w:tc>
      </w:tr>
      <w:tr w:rsidR="00B672D7" w:rsidRPr="006D304C" w:rsidTr="007A2540">
        <w:trPr>
          <w:cantSplit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наличие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средств, наличие задолженности в бюджеты различных уровней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6D304C" w:rsidRDefault="00B672D7" w:rsidP="00DE43D5">
            <w:pPr>
              <w:jc w:val="center"/>
              <w:rPr>
                <w:sz w:val="20"/>
                <w:szCs w:val="20"/>
              </w:rPr>
            </w:pPr>
            <w:r w:rsidRPr="006D304C">
              <w:rPr>
                <w:sz w:val="20"/>
                <w:szCs w:val="20"/>
              </w:rPr>
              <w:t xml:space="preserve">0 баллов </w:t>
            </w:r>
          </w:p>
        </w:tc>
      </w:tr>
      <w:tr w:rsidR="00B672D7" w:rsidRPr="007A2540" w:rsidTr="007A2540">
        <w:trPr>
          <w:cantSplit/>
          <w:tblCellSpacing w:w="15" w:type="dxa"/>
        </w:trPr>
        <w:tc>
          <w:tcPr>
            <w:tcW w:w="10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b/>
                <w:sz w:val="20"/>
                <w:szCs w:val="20"/>
              </w:rPr>
            </w:pPr>
            <w:r w:rsidRPr="007A2540">
              <w:rPr>
                <w:b/>
                <w:sz w:val="20"/>
                <w:szCs w:val="20"/>
              </w:rPr>
              <w:t xml:space="preserve">Совокупная значимость всех критериев (ежеквартальный итог) - 80 баллов </w:t>
            </w:r>
          </w:p>
        </w:tc>
      </w:tr>
    </w:tbl>
    <w:p w:rsidR="00B672D7" w:rsidRPr="00EE1E92" w:rsidRDefault="00B672D7" w:rsidP="00B672D7">
      <w:r w:rsidRPr="00EE1E92">
        <w:br/>
      </w:r>
    </w:p>
    <w:p w:rsidR="007A2540" w:rsidRDefault="00B672D7" w:rsidP="007A2540">
      <w:pPr>
        <w:jc w:val="center"/>
        <w:outlineLvl w:val="2"/>
        <w:rPr>
          <w:b/>
          <w:bCs/>
        </w:rPr>
      </w:pPr>
      <w:r w:rsidRPr="00EE1E92">
        <w:rPr>
          <w:b/>
          <w:bCs/>
        </w:rPr>
        <w:t>ГОДОВЫЕ ЦЕЛЕВЫЕ ПОКАЗАТЕЛИ</w:t>
      </w:r>
    </w:p>
    <w:p w:rsidR="00B672D7" w:rsidRPr="00EE1E92" w:rsidRDefault="00B672D7" w:rsidP="007A2540">
      <w:pPr>
        <w:jc w:val="center"/>
        <w:outlineLvl w:val="2"/>
        <w:rPr>
          <w:b/>
          <w:bCs/>
        </w:rPr>
      </w:pPr>
      <w:r w:rsidRPr="00EE1E92">
        <w:rPr>
          <w:b/>
          <w:bCs/>
        </w:rPr>
        <w:t>эффективности деятельности муниципальных автономных, муниципальных бюджетных, муниципальных казенных учреждений и критерии оценки эффективности работы их руководителей</w:t>
      </w:r>
    </w:p>
    <w:p w:rsidR="00B672D7" w:rsidRPr="00EE1E92" w:rsidRDefault="00B672D7" w:rsidP="00B672D7">
      <w:pPr>
        <w:jc w:val="right"/>
      </w:pPr>
      <w:r w:rsidRPr="00EE1E92">
        <w:br/>
        <w:t xml:space="preserve">Таблица 3 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670"/>
        <w:gridCol w:w="2520"/>
        <w:gridCol w:w="2773"/>
        <w:gridCol w:w="1643"/>
      </w:tblGrid>
      <w:tr w:rsidR="00B672D7" w:rsidRPr="007A2540" w:rsidTr="007A2540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N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Источник информации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Критерии оценки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Количество баллов </w:t>
            </w:r>
          </w:p>
        </w:tc>
      </w:tr>
      <w:tr w:rsidR="00B672D7" w:rsidRPr="007A2540" w:rsidTr="007A2540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5 </w:t>
            </w:r>
          </w:p>
        </w:tc>
      </w:tr>
      <w:tr w:rsidR="00B672D7" w:rsidRPr="007A2540" w:rsidTr="007A2540">
        <w:trPr>
          <w:tblCellSpacing w:w="15" w:type="dxa"/>
        </w:trPr>
        <w:tc>
          <w:tcPr>
            <w:tcW w:w="10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b/>
                <w:sz w:val="20"/>
                <w:szCs w:val="20"/>
              </w:rPr>
            </w:pPr>
            <w:r w:rsidRPr="007A2540">
              <w:rPr>
                <w:b/>
                <w:sz w:val="20"/>
                <w:szCs w:val="20"/>
              </w:rPr>
              <w:t xml:space="preserve">I. Основная деятельность учреждения </w:t>
            </w:r>
          </w:p>
        </w:tc>
      </w:tr>
      <w:tr w:rsidR="00B672D7" w:rsidRPr="007A2540" w:rsidTr="007A2540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8E63DB" w:rsidRDefault="00B672D7" w:rsidP="007A2540">
            <w:pPr>
              <w:rPr>
                <w:b/>
                <w:sz w:val="20"/>
                <w:szCs w:val="20"/>
              </w:rPr>
            </w:pPr>
            <w:r w:rsidRPr="008E63DB">
              <w:rPr>
                <w:b/>
                <w:sz w:val="20"/>
                <w:szCs w:val="20"/>
              </w:rPr>
              <w:t xml:space="preserve">Отсутствие фактов нарушения действующего законодательства по результатам проверок контрольных, надзорных и правоохранительных органов, учредителя </w:t>
            </w:r>
            <w:r w:rsidR="007A2540" w:rsidRPr="008E63DB">
              <w:rPr>
                <w:rStyle w:val="af0"/>
                <w:b/>
                <w:sz w:val="20"/>
                <w:szCs w:val="20"/>
              </w:rPr>
              <w:footnoteReference w:id="6"/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акты проверок, представления контрольных, надзорных и правоохранительных органов, учредителя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отсутствие нарушений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10 баллов </w:t>
            </w:r>
          </w:p>
        </w:tc>
      </w:tr>
      <w:tr w:rsidR="00B672D7" w:rsidRPr="007A2540" w:rsidTr="007A2540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8E63DB" w:rsidRDefault="00B672D7" w:rsidP="00DE43D5">
            <w:pPr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наличие нарушений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0 баллов </w:t>
            </w:r>
          </w:p>
        </w:tc>
      </w:tr>
      <w:tr w:rsidR="00B672D7" w:rsidRPr="007A2540" w:rsidTr="007A2540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8E63DB" w:rsidRDefault="00B672D7" w:rsidP="00DE43D5">
            <w:pPr>
              <w:rPr>
                <w:b/>
                <w:sz w:val="20"/>
                <w:szCs w:val="20"/>
              </w:rPr>
            </w:pPr>
            <w:r w:rsidRPr="008E63DB">
              <w:rPr>
                <w:b/>
                <w:sz w:val="20"/>
                <w:szCs w:val="20"/>
              </w:rPr>
              <w:t xml:space="preserve">Выполнение отраслевых показателей деятельности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данные учредителя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достижение установленных учреждению учредителем отраслевых показателей деятельности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40 баллов </w:t>
            </w:r>
          </w:p>
        </w:tc>
      </w:tr>
      <w:tr w:rsidR="00B672D7" w:rsidRPr="007A2540" w:rsidTr="007A2540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proofErr w:type="spellStart"/>
            <w:r w:rsidRPr="007A2540">
              <w:rPr>
                <w:sz w:val="20"/>
                <w:szCs w:val="20"/>
              </w:rPr>
              <w:t>недостижение</w:t>
            </w:r>
            <w:proofErr w:type="spellEnd"/>
            <w:r w:rsidRPr="007A2540">
              <w:rPr>
                <w:sz w:val="20"/>
                <w:szCs w:val="20"/>
              </w:rPr>
              <w:t xml:space="preserve"> установленных учреждению учредителем отраслевых показателей деятельности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0 баллов </w:t>
            </w:r>
          </w:p>
        </w:tc>
      </w:tr>
      <w:tr w:rsidR="00B672D7" w:rsidRPr="007A2540" w:rsidTr="007A2540">
        <w:trPr>
          <w:tblCellSpacing w:w="15" w:type="dxa"/>
        </w:trPr>
        <w:tc>
          <w:tcPr>
            <w:tcW w:w="10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b/>
                <w:sz w:val="20"/>
                <w:szCs w:val="20"/>
              </w:rPr>
            </w:pPr>
            <w:r w:rsidRPr="007A2540">
              <w:rPr>
                <w:b/>
                <w:sz w:val="20"/>
                <w:szCs w:val="20"/>
              </w:rPr>
              <w:t xml:space="preserve">II. Финансово-экономическая деятельность и исполнительская дисциплина </w:t>
            </w:r>
          </w:p>
        </w:tc>
      </w:tr>
      <w:tr w:rsidR="00B672D7" w:rsidRPr="007A2540" w:rsidTr="007A2540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8E63DB" w:rsidRDefault="00B672D7" w:rsidP="008E63DB">
            <w:pPr>
              <w:rPr>
                <w:b/>
                <w:sz w:val="20"/>
                <w:szCs w:val="20"/>
              </w:rPr>
            </w:pPr>
            <w:r w:rsidRPr="008E63DB">
              <w:rPr>
                <w:b/>
                <w:sz w:val="20"/>
                <w:szCs w:val="20"/>
              </w:rPr>
              <w:t xml:space="preserve">Обеспечение сохранности и эффективного использования муниципального имущества, переданного учреждению на праве оперативного управления </w:t>
            </w:r>
            <w:r w:rsidR="008E63DB" w:rsidRPr="008E63DB">
              <w:rPr>
                <w:rStyle w:val="af0"/>
                <w:b/>
                <w:sz w:val="20"/>
                <w:szCs w:val="20"/>
              </w:rPr>
              <w:footnoteReference w:id="7"/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7A2540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акты проверок контрольных органов, учредителя, </w:t>
            </w:r>
            <w:r w:rsidR="007A2540">
              <w:rPr>
                <w:sz w:val="20"/>
                <w:szCs w:val="20"/>
              </w:rPr>
              <w:t>КУМИ</w:t>
            </w:r>
            <w:r w:rsidRPr="007A25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отсутствие замечаний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5 баллов </w:t>
            </w:r>
          </w:p>
        </w:tc>
      </w:tr>
      <w:tr w:rsidR="00B672D7" w:rsidRPr="007A2540" w:rsidTr="007A2540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наличие замечаний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0 баллов </w:t>
            </w:r>
          </w:p>
        </w:tc>
      </w:tr>
      <w:tr w:rsidR="00B672D7" w:rsidRPr="007A2540" w:rsidTr="007A2540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8E63DB" w:rsidRDefault="00B672D7" w:rsidP="008E63DB">
            <w:pPr>
              <w:rPr>
                <w:b/>
                <w:sz w:val="20"/>
                <w:szCs w:val="20"/>
              </w:rPr>
            </w:pPr>
            <w:r w:rsidRPr="008E63DB">
              <w:rPr>
                <w:b/>
                <w:sz w:val="20"/>
                <w:szCs w:val="20"/>
              </w:rPr>
              <w:t xml:space="preserve">Исполнение бюджета учреждением </w:t>
            </w:r>
            <w:r w:rsidR="008E63DB" w:rsidRPr="008E63DB">
              <w:rPr>
                <w:rStyle w:val="af0"/>
                <w:b/>
                <w:sz w:val="20"/>
                <w:szCs w:val="20"/>
              </w:rPr>
              <w:footnoteReference w:id="8"/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данные учредителя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кассовое исполнение бюджетной сметы 95% и выше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5 баллов </w:t>
            </w:r>
          </w:p>
        </w:tc>
      </w:tr>
      <w:tr w:rsidR="00B672D7" w:rsidRPr="007A2540" w:rsidTr="007A2540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8E63DB" w:rsidRDefault="00B672D7" w:rsidP="00DE43D5">
            <w:pPr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>кассовое исполнение бюджетной сметы менее 95%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0 баллов </w:t>
            </w:r>
          </w:p>
        </w:tc>
      </w:tr>
      <w:tr w:rsidR="00B672D7" w:rsidRPr="007A2540" w:rsidTr="007A2540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8E63DB" w:rsidRDefault="00B672D7" w:rsidP="008E63DB">
            <w:pPr>
              <w:rPr>
                <w:b/>
                <w:sz w:val="20"/>
                <w:szCs w:val="20"/>
              </w:rPr>
            </w:pPr>
            <w:r w:rsidRPr="008E63DB">
              <w:rPr>
                <w:b/>
                <w:sz w:val="20"/>
                <w:szCs w:val="20"/>
              </w:rPr>
              <w:t xml:space="preserve">Выполнение учреждением плана финансово-хозяйственной деятельности </w:t>
            </w:r>
            <w:r w:rsidR="008E63DB">
              <w:rPr>
                <w:rStyle w:val="af0"/>
                <w:b/>
                <w:sz w:val="20"/>
                <w:szCs w:val="20"/>
              </w:rPr>
              <w:footnoteReference w:id="9"/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данные учредителя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>исполнение плановых назначений 95%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5 баллов </w:t>
            </w:r>
          </w:p>
        </w:tc>
      </w:tr>
      <w:tr w:rsidR="00B672D7" w:rsidRPr="007A2540" w:rsidTr="007A2540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>исполнение плановых назначений менее 95%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0 баллов </w:t>
            </w:r>
          </w:p>
        </w:tc>
      </w:tr>
      <w:tr w:rsidR="00B672D7" w:rsidRPr="008E63DB" w:rsidTr="007A2540">
        <w:trPr>
          <w:tblCellSpacing w:w="15" w:type="dxa"/>
        </w:trPr>
        <w:tc>
          <w:tcPr>
            <w:tcW w:w="10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8E63DB" w:rsidRDefault="00B672D7" w:rsidP="00DE43D5">
            <w:pPr>
              <w:jc w:val="center"/>
              <w:rPr>
                <w:b/>
                <w:sz w:val="20"/>
                <w:szCs w:val="20"/>
              </w:rPr>
            </w:pPr>
            <w:r w:rsidRPr="008E63DB">
              <w:rPr>
                <w:b/>
                <w:sz w:val="20"/>
                <w:szCs w:val="20"/>
              </w:rPr>
              <w:t xml:space="preserve">III. Деятельность, направленная на работу с кадровым составом учреждения </w:t>
            </w:r>
          </w:p>
        </w:tc>
      </w:tr>
      <w:tr w:rsidR="00B672D7" w:rsidRPr="007A2540" w:rsidTr="007A2540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8E63DB" w:rsidRDefault="00B672D7" w:rsidP="00DE43D5">
            <w:pPr>
              <w:rPr>
                <w:b/>
                <w:sz w:val="20"/>
                <w:szCs w:val="20"/>
              </w:rPr>
            </w:pPr>
            <w:r w:rsidRPr="008E63DB">
              <w:rPr>
                <w:b/>
                <w:sz w:val="20"/>
                <w:szCs w:val="20"/>
              </w:rPr>
              <w:t xml:space="preserve">Укомплектованность учреждения кадрами в соответствии со штатным расписанием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данные учредителя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>доля укомплектованности, составляющая от 95% до 100%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5 баллов </w:t>
            </w:r>
          </w:p>
        </w:tc>
      </w:tr>
      <w:tr w:rsidR="00B672D7" w:rsidRPr="007A2540" w:rsidTr="007A2540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8E63DB" w:rsidRDefault="00B672D7" w:rsidP="00DE43D5">
            <w:pPr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>доля укомплектованности, составляющая от 85% до 95%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3 балла </w:t>
            </w:r>
          </w:p>
        </w:tc>
      </w:tr>
      <w:tr w:rsidR="00B672D7" w:rsidRPr="007A2540" w:rsidTr="007A2540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8E63DB" w:rsidRDefault="00B672D7" w:rsidP="00DE43D5">
            <w:pPr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>доля укомплектованности, составляющая менее 85%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0 баллов </w:t>
            </w:r>
          </w:p>
        </w:tc>
      </w:tr>
      <w:tr w:rsidR="00B672D7" w:rsidRPr="007A2540" w:rsidTr="007A2540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8E63DB" w:rsidRDefault="00B672D7" w:rsidP="008E63DB">
            <w:pPr>
              <w:rPr>
                <w:b/>
                <w:sz w:val="20"/>
                <w:szCs w:val="20"/>
              </w:rPr>
            </w:pPr>
            <w:r w:rsidRPr="008E63DB">
              <w:rPr>
                <w:b/>
                <w:sz w:val="20"/>
                <w:szCs w:val="20"/>
              </w:rPr>
              <w:t xml:space="preserve">Достижение установленного учреждению целевого показателя уровня средней заработной платы работников учреждения (учитывается для учреждений, которым установлено ежегодное значение целевого показателя уровня средней заработной платы работников учреждения) </w:t>
            </w:r>
            <w:r w:rsidR="008E63DB">
              <w:rPr>
                <w:rStyle w:val="af0"/>
                <w:b/>
                <w:sz w:val="20"/>
                <w:szCs w:val="20"/>
              </w:rPr>
              <w:footnoteReference w:id="10"/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данные учредителя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достижение установленного учреждению учредителем целевого показателя уровня средней заработной платы работников учреждения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10 баллов </w:t>
            </w:r>
          </w:p>
        </w:tc>
      </w:tr>
      <w:tr w:rsidR="00B672D7" w:rsidRPr="007A2540" w:rsidTr="007A2540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proofErr w:type="spellStart"/>
            <w:r w:rsidRPr="007A2540">
              <w:rPr>
                <w:sz w:val="20"/>
                <w:szCs w:val="20"/>
              </w:rPr>
              <w:t>недостижение</w:t>
            </w:r>
            <w:proofErr w:type="spellEnd"/>
            <w:r w:rsidRPr="007A2540">
              <w:rPr>
                <w:sz w:val="20"/>
                <w:szCs w:val="20"/>
              </w:rPr>
              <w:t xml:space="preserve"> установленного учреждению учредителем целевого показателя уровня средней заработной платы работников учреждения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7A2540" w:rsidRDefault="00B672D7" w:rsidP="00DE43D5">
            <w:pPr>
              <w:jc w:val="center"/>
              <w:rPr>
                <w:sz w:val="20"/>
                <w:szCs w:val="20"/>
              </w:rPr>
            </w:pPr>
            <w:r w:rsidRPr="007A2540">
              <w:rPr>
                <w:sz w:val="20"/>
                <w:szCs w:val="20"/>
              </w:rPr>
              <w:t xml:space="preserve">0 баллов </w:t>
            </w:r>
          </w:p>
        </w:tc>
      </w:tr>
      <w:tr w:rsidR="00B672D7" w:rsidRPr="008E63DB" w:rsidTr="007A2540">
        <w:trPr>
          <w:tblCellSpacing w:w="15" w:type="dxa"/>
        </w:trPr>
        <w:tc>
          <w:tcPr>
            <w:tcW w:w="10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2D7" w:rsidRPr="008E63DB" w:rsidRDefault="00B672D7" w:rsidP="008E63DB">
            <w:pPr>
              <w:jc w:val="center"/>
              <w:rPr>
                <w:b/>
                <w:sz w:val="20"/>
                <w:szCs w:val="20"/>
              </w:rPr>
            </w:pPr>
            <w:r w:rsidRPr="008E63DB">
              <w:rPr>
                <w:b/>
                <w:sz w:val="20"/>
                <w:szCs w:val="20"/>
              </w:rPr>
              <w:t>Совокупная значимость всех критериев (годовой итог) - 75 баллов</w:t>
            </w:r>
          </w:p>
        </w:tc>
      </w:tr>
    </w:tbl>
    <w:p w:rsidR="004D3FFC" w:rsidRDefault="004D3FFC" w:rsidP="00B672D7">
      <w:pPr>
        <w:jc w:val="center"/>
        <w:rPr>
          <w:sz w:val="28"/>
          <w:szCs w:val="28"/>
          <w:lang w:val="ru"/>
        </w:rPr>
      </w:pPr>
    </w:p>
    <w:p w:rsidR="006171C1" w:rsidRPr="006171C1" w:rsidRDefault="006171C1" w:rsidP="006171C1">
      <w:pPr>
        <w:jc w:val="center"/>
        <w:rPr>
          <w:b/>
        </w:rPr>
      </w:pPr>
      <w:r>
        <w:rPr>
          <w:b/>
        </w:rPr>
        <w:br w:type="page"/>
      </w:r>
      <w:r w:rsidRPr="006171C1">
        <w:rPr>
          <w:b/>
        </w:rPr>
        <w:lastRenderedPageBreak/>
        <w:t>РАЗМЕРЫ СТИМУЛИРУЮЩИХ ВЫПЛАТ</w:t>
      </w:r>
    </w:p>
    <w:p w:rsidR="006171C1" w:rsidRPr="006171C1" w:rsidRDefault="006171C1" w:rsidP="006171C1">
      <w:pPr>
        <w:jc w:val="center"/>
        <w:rPr>
          <w:b/>
        </w:rPr>
      </w:pPr>
      <w:r w:rsidRPr="006171C1">
        <w:rPr>
          <w:b/>
        </w:rPr>
        <w:t>руководителям муниципальных автономных, муниципальных бюджетных, муниципальных казенных учреждений</w:t>
      </w:r>
    </w:p>
    <w:p w:rsidR="006171C1" w:rsidRDefault="006171C1" w:rsidP="006171C1">
      <w:pPr>
        <w:jc w:val="right"/>
      </w:pPr>
      <w:r>
        <w:t xml:space="preserve">Таблица 4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2163"/>
        <w:gridCol w:w="1228"/>
        <w:gridCol w:w="2163"/>
        <w:gridCol w:w="1208"/>
        <w:gridCol w:w="2178"/>
      </w:tblGrid>
      <w:tr w:rsidR="006171C1" w:rsidRPr="006171C1" w:rsidTr="00B3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b/>
                <w:sz w:val="20"/>
                <w:szCs w:val="20"/>
              </w:rPr>
            </w:pPr>
            <w:r w:rsidRPr="006171C1">
              <w:rPr>
                <w:b/>
                <w:sz w:val="20"/>
                <w:szCs w:val="20"/>
              </w:rPr>
              <w:t>Количество баллов за месяц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повышающего коэффициента за интенсивность и качество работы</w:t>
            </w:r>
            <w:r w:rsidRPr="006171C1">
              <w:rPr>
                <w:sz w:val="20"/>
                <w:szCs w:val="20"/>
              </w:rPr>
              <w:t xml:space="preserve"> с учетом числа полученных баллов (в процентах от планового размера месячного </w:t>
            </w:r>
            <w:r>
              <w:rPr>
                <w:sz w:val="20"/>
                <w:szCs w:val="20"/>
              </w:rPr>
              <w:t>повышающего коэффициента за интенсивность и качество работы</w:t>
            </w:r>
            <w:r w:rsidRPr="006171C1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b/>
                <w:sz w:val="20"/>
                <w:szCs w:val="20"/>
              </w:rPr>
            </w:pPr>
            <w:r w:rsidRPr="006171C1">
              <w:rPr>
                <w:b/>
                <w:sz w:val="20"/>
                <w:szCs w:val="20"/>
              </w:rPr>
              <w:t>Количество баллов за квартал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443525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повышающего коэффициента за интенсивность и качество работы</w:t>
            </w:r>
            <w:r w:rsidRPr="006171C1">
              <w:rPr>
                <w:sz w:val="20"/>
                <w:szCs w:val="20"/>
              </w:rPr>
              <w:t xml:space="preserve"> с учетом числа полученных баллов (в процентах от планового размера месячного </w:t>
            </w:r>
            <w:r>
              <w:rPr>
                <w:sz w:val="20"/>
                <w:szCs w:val="20"/>
              </w:rPr>
              <w:t>повышающего коэффициента за интенсивность и качество работы</w:t>
            </w:r>
            <w:r w:rsidRPr="006171C1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b/>
                <w:sz w:val="20"/>
                <w:szCs w:val="20"/>
              </w:rPr>
            </w:pPr>
            <w:r w:rsidRPr="006171C1">
              <w:rPr>
                <w:b/>
                <w:sz w:val="20"/>
                <w:szCs w:val="20"/>
              </w:rPr>
              <w:t>Количество баллов за год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443525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повышающего коэффициента за интенсивность и качество работы</w:t>
            </w:r>
            <w:r w:rsidRPr="006171C1">
              <w:rPr>
                <w:sz w:val="20"/>
                <w:szCs w:val="20"/>
              </w:rPr>
              <w:t xml:space="preserve"> с учетом числа полученных баллов (в процентах от планового размера месячного </w:t>
            </w:r>
            <w:r>
              <w:rPr>
                <w:sz w:val="20"/>
                <w:szCs w:val="20"/>
              </w:rPr>
              <w:t>повышающего коэффициента за интенсивность и качество работы</w:t>
            </w:r>
            <w:r w:rsidRPr="006171C1">
              <w:rPr>
                <w:sz w:val="20"/>
                <w:szCs w:val="20"/>
              </w:rPr>
              <w:t>)</w:t>
            </w:r>
          </w:p>
        </w:tc>
      </w:tr>
      <w:tr w:rsidR="006171C1" w:rsidRPr="006171C1" w:rsidTr="00B3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b/>
                <w:sz w:val="20"/>
                <w:szCs w:val="20"/>
              </w:rPr>
            </w:pPr>
            <w:r w:rsidRPr="006171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b/>
                <w:sz w:val="20"/>
                <w:szCs w:val="20"/>
              </w:rPr>
            </w:pPr>
            <w:r w:rsidRPr="006171C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b/>
                <w:sz w:val="20"/>
                <w:szCs w:val="20"/>
              </w:rPr>
            </w:pPr>
            <w:r w:rsidRPr="006171C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>6</w:t>
            </w:r>
          </w:p>
        </w:tc>
      </w:tr>
      <w:tr w:rsidR="006171C1" w:rsidRPr="006171C1" w:rsidTr="00B3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b/>
                <w:sz w:val="20"/>
                <w:szCs w:val="20"/>
              </w:rPr>
            </w:pPr>
            <w:r w:rsidRPr="006171C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b/>
                <w:sz w:val="20"/>
                <w:szCs w:val="20"/>
              </w:rPr>
            </w:pPr>
            <w:r w:rsidRPr="006171C1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b/>
                <w:sz w:val="20"/>
                <w:szCs w:val="20"/>
              </w:rPr>
            </w:pPr>
            <w:r w:rsidRPr="006171C1">
              <w:rPr>
                <w:b/>
                <w:sz w:val="20"/>
                <w:szCs w:val="20"/>
              </w:rPr>
              <w:t>45-50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>100</w:t>
            </w:r>
          </w:p>
        </w:tc>
      </w:tr>
      <w:tr w:rsidR="006171C1" w:rsidRPr="006171C1" w:rsidTr="00B3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b/>
                <w:sz w:val="20"/>
                <w:szCs w:val="20"/>
              </w:rPr>
            </w:pPr>
            <w:r w:rsidRPr="006171C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b/>
                <w:sz w:val="20"/>
                <w:szCs w:val="20"/>
              </w:rPr>
            </w:pPr>
            <w:r w:rsidRPr="006171C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b/>
                <w:sz w:val="20"/>
                <w:szCs w:val="20"/>
              </w:rPr>
            </w:pPr>
            <w:r w:rsidRPr="006171C1">
              <w:rPr>
                <w:b/>
                <w:sz w:val="20"/>
                <w:szCs w:val="20"/>
              </w:rPr>
              <w:t>35-40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>90</w:t>
            </w:r>
          </w:p>
        </w:tc>
      </w:tr>
      <w:tr w:rsidR="006171C1" w:rsidRPr="006171C1" w:rsidTr="00B3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b/>
                <w:sz w:val="20"/>
                <w:szCs w:val="20"/>
              </w:rPr>
            </w:pPr>
            <w:r w:rsidRPr="006171C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b/>
                <w:sz w:val="20"/>
                <w:szCs w:val="20"/>
              </w:rPr>
            </w:pPr>
            <w:r w:rsidRPr="006171C1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b/>
                <w:sz w:val="20"/>
                <w:szCs w:val="20"/>
              </w:rPr>
            </w:pPr>
            <w:r w:rsidRPr="006171C1">
              <w:rPr>
                <w:b/>
                <w:sz w:val="20"/>
                <w:szCs w:val="20"/>
              </w:rPr>
              <w:t>25-30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>80</w:t>
            </w:r>
          </w:p>
        </w:tc>
      </w:tr>
      <w:tr w:rsidR="006171C1" w:rsidRPr="006171C1" w:rsidTr="00B3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b/>
                <w:sz w:val="20"/>
                <w:szCs w:val="20"/>
              </w:rPr>
            </w:pPr>
            <w:r w:rsidRPr="006171C1">
              <w:rPr>
                <w:b/>
                <w:sz w:val="20"/>
                <w:szCs w:val="20"/>
              </w:rPr>
              <w:t>10 и менее</w:t>
            </w:r>
          </w:p>
        </w:tc>
        <w:tc>
          <w:tcPr>
            <w:tcW w:w="0" w:type="auto"/>
            <w:vAlign w:val="center"/>
            <w:hideMark/>
          </w:tcPr>
          <w:p w:rsidR="006171C1" w:rsidRDefault="006171C1" w:rsidP="006171C1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>не премируется</w:t>
            </w:r>
          </w:p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>за месяц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b/>
                <w:sz w:val="20"/>
                <w:szCs w:val="20"/>
              </w:rPr>
            </w:pPr>
            <w:r w:rsidRPr="006171C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b/>
                <w:sz w:val="20"/>
                <w:szCs w:val="20"/>
              </w:rPr>
            </w:pPr>
            <w:r w:rsidRPr="006171C1">
              <w:rPr>
                <w:b/>
                <w:sz w:val="20"/>
                <w:szCs w:val="20"/>
              </w:rPr>
              <w:t>15-20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>50</w:t>
            </w:r>
          </w:p>
        </w:tc>
      </w:tr>
      <w:tr w:rsidR="006171C1" w:rsidRPr="006171C1" w:rsidTr="00B3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b/>
                <w:sz w:val="20"/>
                <w:szCs w:val="20"/>
              </w:rPr>
            </w:pPr>
            <w:r w:rsidRPr="006171C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b/>
                <w:sz w:val="20"/>
                <w:szCs w:val="20"/>
              </w:rPr>
            </w:pPr>
            <w:r w:rsidRPr="006171C1">
              <w:rPr>
                <w:b/>
                <w:sz w:val="20"/>
                <w:szCs w:val="20"/>
              </w:rPr>
              <w:t>10 и менее</w:t>
            </w:r>
          </w:p>
        </w:tc>
        <w:tc>
          <w:tcPr>
            <w:tcW w:w="0" w:type="auto"/>
            <w:vAlign w:val="center"/>
            <w:hideMark/>
          </w:tcPr>
          <w:p w:rsidR="006171C1" w:rsidRDefault="006171C1" w:rsidP="006171C1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>не премируется</w:t>
            </w:r>
          </w:p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>за год</w:t>
            </w:r>
          </w:p>
        </w:tc>
      </w:tr>
      <w:tr w:rsidR="006171C1" w:rsidRPr="006171C1" w:rsidTr="00B3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b/>
                <w:sz w:val="20"/>
                <w:szCs w:val="20"/>
              </w:rPr>
            </w:pPr>
            <w:r w:rsidRPr="006171C1">
              <w:rPr>
                <w:b/>
                <w:sz w:val="20"/>
                <w:szCs w:val="20"/>
              </w:rPr>
              <w:t>20 и менее</w:t>
            </w:r>
          </w:p>
        </w:tc>
        <w:tc>
          <w:tcPr>
            <w:tcW w:w="0" w:type="auto"/>
            <w:vAlign w:val="center"/>
            <w:hideMark/>
          </w:tcPr>
          <w:p w:rsidR="006171C1" w:rsidRDefault="006171C1" w:rsidP="006171C1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>не премируется</w:t>
            </w:r>
          </w:p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  <w:r w:rsidRPr="006171C1">
              <w:rPr>
                <w:sz w:val="20"/>
                <w:szCs w:val="20"/>
              </w:rPr>
              <w:t>за квартал</w:t>
            </w: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71C1" w:rsidRPr="006171C1" w:rsidRDefault="006171C1" w:rsidP="006171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71C1" w:rsidRPr="001002F7" w:rsidRDefault="006171C1" w:rsidP="00B672D7">
      <w:pPr>
        <w:jc w:val="center"/>
        <w:rPr>
          <w:sz w:val="28"/>
          <w:szCs w:val="28"/>
          <w:lang w:val="ru"/>
        </w:rPr>
      </w:pPr>
    </w:p>
    <w:sectPr w:rsidR="006171C1" w:rsidRPr="001002F7" w:rsidSect="006D304C">
      <w:pgSz w:w="11904" w:h="16834"/>
      <w:pgMar w:top="426" w:right="422" w:bottom="426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BE" w:rsidRDefault="00E745BE" w:rsidP="008C0F7D">
      <w:r>
        <w:separator/>
      </w:r>
    </w:p>
  </w:endnote>
  <w:endnote w:type="continuationSeparator" w:id="0">
    <w:p w:rsidR="00E745BE" w:rsidRDefault="00E745BE" w:rsidP="008C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BE" w:rsidRDefault="00E745BE" w:rsidP="008C0F7D">
      <w:r>
        <w:separator/>
      </w:r>
    </w:p>
  </w:footnote>
  <w:footnote w:type="continuationSeparator" w:id="0">
    <w:p w:rsidR="00E745BE" w:rsidRDefault="00E745BE" w:rsidP="008C0F7D">
      <w:r>
        <w:continuationSeparator/>
      </w:r>
    </w:p>
  </w:footnote>
  <w:footnote w:id="1">
    <w:p w:rsidR="008C0F7D" w:rsidRPr="006D304C" w:rsidRDefault="008C0F7D" w:rsidP="008C0F7D">
      <w:pPr>
        <w:pStyle w:val="ae"/>
        <w:jc w:val="both"/>
        <w:rPr>
          <w:sz w:val="16"/>
          <w:szCs w:val="16"/>
        </w:rPr>
      </w:pPr>
      <w:r w:rsidRPr="006D304C">
        <w:rPr>
          <w:rStyle w:val="af0"/>
          <w:sz w:val="16"/>
          <w:szCs w:val="16"/>
        </w:rPr>
        <w:footnoteRef/>
      </w:r>
      <w:r>
        <w:t xml:space="preserve"> </w:t>
      </w:r>
      <w:r w:rsidRPr="006D304C">
        <w:rPr>
          <w:sz w:val="16"/>
          <w:szCs w:val="16"/>
        </w:rPr>
        <w:t>Размеры стимулирующих выплат руководителям муниципальных автономных, муниципальных бюджетных, муниципальных казенных учреждений устанавливаются в зависимости от достижения целевых показателей эффективности деятельности муниципальных автономных, муниципальных бюджетных, муниципальных казенных учреждений в отчетном периоде (месяц, квартал, год)</w:t>
      </w:r>
      <w:r w:rsidR="006D304C" w:rsidRPr="006D304C">
        <w:rPr>
          <w:sz w:val="16"/>
          <w:szCs w:val="16"/>
        </w:rPr>
        <w:t>.</w:t>
      </w:r>
    </w:p>
  </w:footnote>
  <w:footnote w:id="2">
    <w:p w:rsidR="008C0F7D" w:rsidRPr="006D304C" w:rsidRDefault="008C0F7D">
      <w:pPr>
        <w:pStyle w:val="ae"/>
        <w:rPr>
          <w:sz w:val="16"/>
          <w:szCs w:val="16"/>
        </w:rPr>
      </w:pPr>
      <w:r w:rsidRPr="006D304C">
        <w:rPr>
          <w:rStyle w:val="af0"/>
          <w:sz w:val="16"/>
          <w:szCs w:val="16"/>
        </w:rPr>
        <w:footnoteRef/>
      </w:r>
      <w:r w:rsidRPr="006D304C">
        <w:rPr>
          <w:sz w:val="16"/>
          <w:szCs w:val="16"/>
        </w:rPr>
        <w:t xml:space="preserve"> В случае если муниципальное казенное учреждение не оказывает муниципальные услуги (не выполняет работы)</w:t>
      </w:r>
      <w:r w:rsidR="006D304C" w:rsidRPr="006D304C">
        <w:rPr>
          <w:sz w:val="16"/>
          <w:szCs w:val="16"/>
        </w:rPr>
        <w:t xml:space="preserve"> и в случае отсутствия оценки на сайте Администрации Усть-Большерецкого муниципального района</w:t>
      </w:r>
      <w:r w:rsidRPr="006D304C">
        <w:rPr>
          <w:sz w:val="16"/>
          <w:szCs w:val="16"/>
        </w:rPr>
        <w:t xml:space="preserve">, то для обеспечения </w:t>
      </w:r>
      <w:proofErr w:type="gramStart"/>
      <w:r w:rsidRPr="006D304C">
        <w:rPr>
          <w:sz w:val="16"/>
          <w:szCs w:val="16"/>
        </w:rPr>
        <w:t>сопоставимости ежемесячных оценок эффективности работы руководителей муниципальных казенных учреждений</w:t>
      </w:r>
      <w:proofErr w:type="gramEnd"/>
      <w:r w:rsidRPr="006D304C">
        <w:rPr>
          <w:sz w:val="16"/>
          <w:szCs w:val="16"/>
        </w:rPr>
        <w:t xml:space="preserve"> по показателю 1 количество баллов рассчитывается как максимально возможное</w:t>
      </w:r>
      <w:r w:rsidR="006D304C" w:rsidRPr="006D304C">
        <w:rPr>
          <w:sz w:val="16"/>
          <w:szCs w:val="16"/>
        </w:rPr>
        <w:t>.</w:t>
      </w:r>
    </w:p>
  </w:footnote>
  <w:footnote w:id="3">
    <w:p w:rsidR="007A2540" w:rsidRPr="007A2540" w:rsidRDefault="007A2540">
      <w:pPr>
        <w:pStyle w:val="ae"/>
        <w:rPr>
          <w:sz w:val="16"/>
          <w:szCs w:val="16"/>
        </w:rPr>
      </w:pPr>
      <w:r w:rsidRPr="007A2540">
        <w:rPr>
          <w:rStyle w:val="af0"/>
          <w:sz w:val="16"/>
          <w:szCs w:val="16"/>
        </w:rPr>
        <w:footnoteRef/>
      </w:r>
      <w:r w:rsidRPr="007A2540">
        <w:rPr>
          <w:sz w:val="16"/>
          <w:szCs w:val="16"/>
        </w:rPr>
        <w:t xml:space="preserve"> Актуальным считается такое состояние Интернет-сайта, при котором вся размещенная на нем информация о муниципальном автономном, муниципальном бюджетном, муниципальном казенном учреждении соответствует действительности на данный момент времени</w:t>
      </w:r>
    </w:p>
  </w:footnote>
  <w:footnote w:id="4">
    <w:p w:rsidR="007A2540" w:rsidRPr="007A2540" w:rsidRDefault="007A2540">
      <w:pPr>
        <w:pStyle w:val="ae"/>
        <w:rPr>
          <w:sz w:val="16"/>
          <w:szCs w:val="16"/>
        </w:rPr>
      </w:pPr>
      <w:r w:rsidRPr="007A2540">
        <w:rPr>
          <w:rStyle w:val="af0"/>
          <w:sz w:val="16"/>
          <w:szCs w:val="16"/>
        </w:rPr>
        <w:footnoteRef/>
      </w:r>
      <w:r w:rsidRPr="007A2540">
        <w:rPr>
          <w:sz w:val="16"/>
          <w:szCs w:val="16"/>
        </w:rPr>
        <w:t xml:space="preserve"> В случае если муниципальному казенному учреждению не утверждено муниципальное задание на оказание муниципальных услуг (выполнение работ), то для обеспечения </w:t>
      </w:r>
      <w:proofErr w:type="gramStart"/>
      <w:r w:rsidRPr="007A2540">
        <w:rPr>
          <w:sz w:val="16"/>
          <w:szCs w:val="16"/>
        </w:rPr>
        <w:t>сопоставимости ежеквартальных оценок эффективности работы руководителей муниципальных казенных учреждений</w:t>
      </w:r>
      <w:proofErr w:type="gramEnd"/>
      <w:r w:rsidRPr="007A2540">
        <w:rPr>
          <w:sz w:val="16"/>
          <w:szCs w:val="16"/>
        </w:rPr>
        <w:t xml:space="preserve"> по показателю 3 количество баллов рассчитывается как максимально возможное</w:t>
      </w:r>
    </w:p>
  </w:footnote>
  <w:footnote w:id="5">
    <w:p w:rsidR="007A2540" w:rsidRPr="007A2540" w:rsidRDefault="007A2540">
      <w:pPr>
        <w:pStyle w:val="ae"/>
        <w:rPr>
          <w:sz w:val="16"/>
          <w:szCs w:val="16"/>
        </w:rPr>
      </w:pPr>
      <w:r w:rsidRPr="007A2540">
        <w:rPr>
          <w:rStyle w:val="af0"/>
          <w:sz w:val="16"/>
          <w:szCs w:val="16"/>
        </w:rPr>
        <w:footnoteRef/>
      </w:r>
      <w:r w:rsidRPr="007A2540">
        <w:rPr>
          <w:sz w:val="16"/>
          <w:szCs w:val="16"/>
        </w:rPr>
        <w:t xml:space="preserve"> Оценка выполнения муниципального задания на оказание муниципальных услуг (выполнение работ) осуществляется учредителем в соответствии с Методикой расчета оценки выполнения муниципального задания на оказание муниципальных услуг (выполнение работ) муниципальными учреждениями, утвержденной постановлением </w:t>
      </w:r>
      <w:r>
        <w:rPr>
          <w:sz w:val="16"/>
          <w:szCs w:val="16"/>
        </w:rPr>
        <w:t>А</w:t>
      </w:r>
      <w:r w:rsidRPr="007A2540">
        <w:rPr>
          <w:sz w:val="16"/>
          <w:szCs w:val="16"/>
        </w:rPr>
        <w:t xml:space="preserve">дминистрации </w:t>
      </w:r>
      <w:r>
        <w:rPr>
          <w:sz w:val="16"/>
          <w:szCs w:val="16"/>
        </w:rPr>
        <w:t>Усть-Большерецкого муниципального района.</w:t>
      </w:r>
    </w:p>
  </w:footnote>
  <w:footnote w:id="6">
    <w:p w:rsidR="007A2540" w:rsidRPr="007A2540" w:rsidRDefault="007A2540">
      <w:pPr>
        <w:pStyle w:val="ae"/>
        <w:rPr>
          <w:sz w:val="16"/>
          <w:szCs w:val="16"/>
        </w:rPr>
      </w:pPr>
      <w:r w:rsidRPr="007A2540">
        <w:rPr>
          <w:rStyle w:val="af0"/>
          <w:sz w:val="16"/>
          <w:szCs w:val="16"/>
        </w:rPr>
        <w:footnoteRef/>
      </w:r>
      <w:r w:rsidRPr="007A2540">
        <w:rPr>
          <w:sz w:val="16"/>
          <w:szCs w:val="16"/>
        </w:rPr>
        <w:t xml:space="preserve"> В случае если в отношении муниципального автономного, муниципального бюджетного, муниципального казенного учреждения не проводилось проверок контрольными, надзорными и правоохранительными органами, учредителем, то для обеспечения </w:t>
      </w:r>
      <w:proofErr w:type="gramStart"/>
      <w:r w:rsidRPr="007A2540">
        <w:rPr>
          <w:sz w:val="16"/>
          <w:szCs w:val="16"/>
        </w:rPr>
        <w:t>сопоставимости годовых оценок эффективности работы руководителей муниципальных</w:t>
      </w:r>
      <w:proofErr w:type="gramEnd"/>
      <w:r w:rsidRPr="007A2540">
        <w:rPr>
          <w:sz w:val="16"/>
          <w:szCs w:val="16"/>
        </w:rPr>
        <w:t xml:space="preserve"> автономных, муниципальных бюджетных, муниципальных казенных учреждений по показателю 1 количество баллов рассчитывается как максимально возможное.</w:t>
      </w:r>
    </w:p>
  </w:footnote>
  <w:footnote w:id="7">
    <w:p w:rsidR="008E63DB" w:rsidRPr="008E63DB" w:rsidRDefault="008E63DB">
      <w:pPr>
        <w:pStyle w:val="ae"/>
        <w:rPr>
          <w:sz w:val="16"/>
          <w:szCs w:val="16"/>
        </w:rPr>
      </w:pPr>
      <w:r w:rsidRPr="008E63DB">
        <w:rPr>
          <w:rStyle w:val="af0"/>
          <w:sz w:val="16"/>
          <w:szCs w:val="16"/>
        </w:rPr>
        <w:footnoteRef/>
      </w:r>
      <w:r w:rsidRPr="008E63DB">
        <w:rPr>
          <w:sz w:val="16"/>
          <w:szCs w:val="16"/>
        </w:rPr>
        <w:t xml:space="preserve"> </w:t>
      </w:r>
      <w:proofErr w:type="gramStart"/>
      <w:r w:rsidRPr="008E63DB">
        <w:rPr>
          <w:sz w:val="16"/>
          <w:szCs w:val="16"/>
        </w:rPr>
        <w:t xml:space="preserve">В случае если в отношении муниципального автономного, муниципального бюджетного, муниципального казенного учреждения не проводилось проверок контрольными органами, учредителем, </w:t>
      </w:r>
      <w:r>
        <w:rPr>
          <w:sz w:val="16"/>
          <w:szCs w:val="16"/>
        </w:rPr>
        <w:t>Комитетом по управлению муниципальным имуществом Администрации Усть-Большерецкого муниципального района</w:t>
      </w:r>
      <w:r w:rsidRPr="008E63DB">
        <w:rPr>
          <w:sz w:val="16"/>
          <w:szCs w:val="16"/>
        </w:rPr>
        <w:t>, то для обеспечения сопоставимости годовых оценок эффективности работы руководителей муниципальных автономных, муниципальных бюджетных, муниципальных казенных учреждений по показателю 3 количество баллов рассчитывается как максимально возможное.</w:t>
      </w:r>
      <w:proofErr w:type="gramEnd"/>
    </w:p>
  </w:footnote>
  <w:footnote w:id="8">
    <w:p w:rsidR="008E63DB" w:rsidRPr="008E63DB" w:rsidRDefault="008E63DB">
      <w:pPr>
        <w:pStyle w:val="ae"/>
        <w:rPr>
          <w:sz w:val="16"/>
          <w:szCs w:val="16"/>
        </w:rPr>
      </w:pPr>
      <w:r w:rsidRPr="008E63DB">
        <w:rPr>
          <w:rStyle w:val="af0"/>
          <w:sz w:val="16"/>
          <w:szCs w:val="16"/>
        </w:rPr>
        <w:footnoteRef/>
      </w:r>
      <w:r w:rsidRPr="008E63DB">
        <w:rPr>
          <w:sz w:val="16"/>
          <w:szCs w:val="16"/>
        </w:rPr>
        <w:t xml:space="preserve"> Показатель 4 устанавливается только для муниципального казенного учреждения</w:t>
      </w:r>
    </w:p>
  </w:footnote>
  <w:footnote w:id="9">
    <w:p w:rsidR="008E63DB" w:rsidRPr="008E63DB" w:rsidRDefault="008E63DB">
      <w:pPr>
        <w:pStyle w:val="ae"/>
        <w:rPr>
          <w:sz w:val="16"/>
          <w:szCs w:val="16"/>
        </w:rPr>
      </w:pPr>
      <w:r w:rsidRPr="008E63DB">
        <w:rPr>
          <w:rStyle w:val="af0"/>
          <w:sz w:val="16"/>
          <w:szCs w:val="16"/>
        </w:rPr>
        <w:footnoteRef/>
      </w:r>
      <w:r w:rsidRPr="008E63DB">
        <w:rPr>
          <w:sz w:val="16"/>
          <w:szCs w:val="16"/>
        </w:rPr>
        <w:t xml:space="preserve"> Показатель 5 устанавливается только для муниципального автономного и муниципального бюджетного учреждения</w:t>
      </w:r>
    </w:p>
  </w:footnote>
  <w:footnote w:id="10">
    <w:p w:rsidR="008E63DB" w:rsidRPr="008E63DB" w:rsidRDefault="008E63DB">
      <w:pPr>
        <w:pStyle w:val="ae"/>
        <w:rPr>
          <w:sz w:val="16"/>
          <w:szCs w:val="16"/>
        </w:rPr>
      </w:pPr>
      <w:r w:rsidRPr="008E63DB">
        <w:rPr>
          <w:rStyle w:val="af0"/>
          <w:sz w:val="16"/>
          <w:szCs w:val="16"/>
        </w:rPr>
        <w:footnoteRef/>
      </w:r>
      <w:r w:rsidRPr="008E63DB">
        <w:rPr>
          <w:sz w:val="16"/>
          <w:szCs w:val="16"/>
        </w:rPr>
        <w:t xml:space="preserve"> В случае если муниципальному автономному, муниципальному бюджетному, муниципальному казенному учреждению учредителем не установлен целевой показатель уровня средней заработной платы работников учреждения, то для обеспечения </w:t>
      </w:r>
      <w:proofErr w:type="gramStart"/>
      <w:r w:rsidRPr="008E63DB">
        <w:rPr>
          <w:sz w:val="16"/>
          <w:szCs w:val="16"/>
        </w:rPr>
        <w:t>сопоставимости годовых оценок эффективности работы руководителей муниципальных</w:t>
      </w:r>
      <w:proofErr w:type="gramEnd"/>
      <w:r w:rsidRPr="008E63DB">
        <w:rPr>
          <w:sz w:val="16"/>
          <w:szCs w:val="16"/>
        </w:rPr>
        <w:t xml:space="preserve"> автономных, муниципальных бюджетных, муниципальных казенных учреждений по показателю 7 количество баллов рассчитывается как максимально возможное.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6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2B41ED"/>
    <w:multiLevelType w:val="singleLevel"/>
    <w:tmpl w:val="E24AF490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2392531D"/>
    <w:multiLevelType w:val="hybridMultilevel"/>
    <w:tmpl w:val="7E166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A0B86"/>
    <w:multiLevelType w:val="hybridMultilevel"/>
    <w:tmpl w:val="A246DA3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9781A39"/>
    <w:multiLevelType w:val="multilevel"/>
    <w:tmpl w:val="863E63F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B9811CB"/>
    <w:multiLevelType w:val="multilevel"/>
    <w:tmpl w:val="A9E8A542"/>
    <w:lvl w:ilvl="0">
      <w:start w:val="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abstractNum w:abstractNumId="6">
    <w:nsid w:val="33A21A24"/>
    <w:multiLevelType w:val="hybridMultilevel"/>
    <w:tmpl w:val="FBC430B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4CF156D"/>
    <w:multiLevelType w:val="hybridMultilevel"/>
    <w:tmpl w:val="49547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7750A"/>
    <w:multiLevelType w:val="hybridMultilevel"/>
    <w:tmpl w:val="790C58EE"/>
    <w:lvl w:ilvl="0" w:tplc="4530B88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A52E8E"/>
    <w:multiLevelType w:val="hybridMultilevel"/>
    <w:tmpl w:val="AA0E90AA"/>
    <w:lvl w:ilvl="0" w:tplc="35BE4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EE0367"/>
    <w:multiLevelType w:val="hybridMultilevel"/>
    <w:tmpl w:val="8C60A496"/>
    <w:lvl w:ilvl="0" w:tplc="DCE86622">
      <w:start w:val="1"/>
      <w:numFmt w:val="russianLower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603F21CD"/>
    <w:multiLevelType w:val="hybridMultilevel"/>
    <w:tmpl w:val="780A8C64"/>
    <w:lvl w:ilvl="0" w:tplc="5930E436">
      <w:start w:val="1"/>
      <w:numFmt w:val="decimal"/>
      <w:lvlText w:val="%1."/>
      <w:lvlJc w:val="left"/>
      <w:pPr>
        <w:ind w:left="20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6A192222"/>
    <w:multiLevelType w:val="hybridMultilevel"/>
    <w:tmpl w:val="7BE21044"/>
    <w:lvl w:ilvl="0" w:tplc="18ACC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546E30"/>
    <w:multiLevelType w:val="hybridMultilevel"/>
    <w:tmpl w:val="CEF0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482645"/>
    <w:multiLevelType w:val="multilevel"/>
    <w:tmpl w:val="292E1504"/>
    <w:lvl w:ilvl="0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25"/>
    <w:rsid w:val="0000416F"/>
    <w:rsid w:val="0001744D"/>
    <w:rsid w:val="000200E0"/>
    <w:rsid w:val="00026F04"/>
    <w:rsid w:val="00051CDE"/>
    <w:rsid w:val="00054680"/>
    <w:rsid w:val="00056285"/>
    <w:rsid w:val="000800DB"/>
    <w:rsid w:val="000B13C8"/>
    <w:rsid w:val="000B186D"/>
    <w:rsid w:val="000C3B5F"/>
    <w:rsid w:val="001002F7"/>
    <w:rsid w:val="00126AF7"/>
    <w:rsid w:val="00133772"/>
    <w:rsid w:val="00133878"/>
    <w:rsid w:val="00141791"/>
    <w:rsid w:val="001524DC"/>
    <w:rsid w:val="00176AE1"/>
    <w:rsid w:val="0018196B"/>
    <w:rsid w:val="00191407"/>
    <w:rsid w:val="001A11AC"/>
    <w:rsid w:val="001B3E8F"/>
    <w:rsid w:val="001B6E9D"/>
    <w:rsid w:val="001C2251"/>
    <w:rsid w:val="001F2047"/>
    <w:rsid w:val="0020464D"/>
    <w:rsid w:val="00204D08"/>
    <w:rsid w:val="00206CD9"/>
    <w:rsid w:val="00220E68"/>
    <w:rsid w:val="002310EB"/>
    <w:rsid w:val="002315B7"/>
    <w:rsid w:val="00233C90"/>
    <w:rsid w:val="0026151B"/>
    <w:rsid w:val="0026464A"/>
    <w:rsid w:val="00266094"/>
    <w:rsid w:val="00285386"/>
    <w:rsid w:val="002860B2"/>
    <w:rsid w:val="0029459F"/>
    <w:rsid w:val="002A289F"/>
    <w:rsid w:val="002A43D6"/>
    <w:rsid w:val="002B4743"/>
    <w:rsid w:val="002C1B89"/>
    <w:rsid w:val="002E6B25"/>
    <w:rsid w:val="0030026A"/>
    <w:rsid w:val="00302A9A"/>
    <w:rsid w:val="003148A8"/>
    <w:rsid w:val="003151F0"/>
    <w:rsid w:val="00317CC1"/>
    <w:rsid w:val="003269F4"/>
    <w:rsid w:val="00331B8C"/>
    <w:rsid w:val="003440A4"/>
    <w:rsid w:val="00356918"/>
    <w:rsid w:val="00365346"/>
    <w:rsid w:val="003933DD"/>
    <w:rsid w:val="003A3255"/>
    <w:rsid w:val="003A3EC7"/>
    <w:rsid w:val="003B1075"/>
    <w:rsid w:val="003C19D2"/>
    <w:rsid w:val="003E5A0E"/>
    <w:rsid w:val="003F3FE9"/>
    <w:rsid w:val="003F44C2"/>
    <w:rsid w:val="003F667B"/>
    <w:rsid w:val="0042542B"/>
    <w:rsid w:val="004365F0"/>
    <w:rsid w:val="00443525"/>
    <w:rsid w:val="00451A4B"/>
    <w:rsid w:val="00465A30"/>
    <w:rsid w:val="0046783F"/>
    <w:rsid w:val="004A59AE"/>
    <w:rsid w:val="004A5C54"/>
    <w:rsid w:val="004B3A3B"/>
    <w:rsid w:val="004C6F71"/>
    <w:rsid w:val="004D03DF"/>
    <w:rsid w:val="004D3FFC"/>
    <w:rsid w:val="004F587F"/>
    <w:rsid w:val="005108C4"/>
    <w:rsid w:val="00525CCD"/>
    <w:rsid w:val="00533EA3"/>
    <w:rsid w:val="00550AA9"/>
    <w:rsid w:val="00557DB8"/>
    <w:rsid w:val="00573CC2"/>
    <w:rsid w:val="0059184E"/>
    <w:rsid w:val="005968ED"/>
    <w:rsid w:val="005A24DF"/>
    <w:rsid w:val="005C600D"/>
    <w:rsid w:val="005E66D9"/>
    <w:rsid w:val="005F530E"/>
    <w:rsid w:val="006011DD"/>
    <w:rsid w:val="00601AEB"/>
    <w:rsid w:val="00604521"/>
    <w:rsid w:val="00612D12"/>
    <w:rsid w:val="006171C1"/>
    <w:rsid w:val="0063173A"/>
    <w:rsid w:val="00636A17"/>
    <w:rsid w:val="00643884"/>
    <w:rsid w:val="00653E9D"/>
    <w:rsid w:val="006541A7"/>
    <w:rsid w:val="00687E4B"/>
    <w:rsid w:val="006A0952"/>
    <w:rsid w:val="006B34D8"/>
    <w:rsid w:val="006B7D90"/>
    <w:rsid w:val="006D304C"/>
    <w:rsid w:val="006D7CE3"/>
    <w:rsid w:val="006E547C"/>
    <w:rsid w:val="00702B59"/>
    <w:rsid w:val="00703963"/>
    <w:rsid w:val="00707A34"/>
    <w:rsid w:val="00711287"/>
    <w:rsid w:val="007208A3"/>
    <w:rsid w:val="007217A6"/>
    <w:rsid w:val="007566DF"/>
    <w:rsid w:val="0075699E"/>
    <w:rsid w:val="00773E7C"/>
    <w:rsid w:val="00776FCB"/>
    <w:rsid w:val="0078002C"/>
    <w:rsid w:val="007A2094"/>
    <w:rsid w:val="007A2540"/>
    <w:rsid w:val="007A7DF5"/>
    <w:rsid w:val="007C2067"/>
    <w:rsid w:val="007F280E"/>
    <w:rsid w:val="00803B16"/>
    <w:rsid w:val="008247C4"/>
    <w:rsid w:val="00833EF1"/>
    <w:rsid w:val="00835F4F"/>
    <w:rsid w:val="0084316F"/>
    <w:rsid w:val="00852280"/>
    <w:rsid w:val="00870CE9"/>
    <w:rsid w:val="00883FF1"/>
    <w:rsid w:val="008A7F88"/>
    <w:rsid w:val="008B2968"/>
    <w:rsid w:val="008B3B8D"/>
    <w:rsid w:val="008C0F7D"/>
    <w:rsid w:val="008C5850"/>
    <w:rsid w:val="008C7453"/>
    <w:rsid w:val="008D4606"/>
    <w:rsid w:val="008D75A9"/>
    <w:rsid w:val="008E63DB"/>
    <w:rsid w:val="008E7289"/>
    <w:rsid w:val="008F2ABC"/>
    <w:rsid w:val="008F3D66"/>
    <w:rsid w:val="009057AD"/>
    <w:rsid w:val="009228DB"/>
    <w:rsid w:val="00956B0E"/>
    <w:rsid w:val="009609F1"/>
    <w:rsid w:val="009A0ABF"/>
    <w:rsid w:val="009B0EFE"/>
    <w:rsid w:val="009D1827"/>
    <w:rsid w:val="009E023F"/>
    <w:rsid w:val="00A1553B"/>
    <w:rsid w:val="00A15C4B"/>
    <w:rsid w:val="00A25CBD"/>
    <w:rsid w:val="00A36EF6"/>
    <w:rsid w:val="00A57767"/>
    <w:rsid w:val="00A60DC5"/>
    <w:rsid w:val="00A9198D"/>
    <w:rsid w:val="00AA2438"/>
    <w:rsid w:val="00AC1992"/>
    <w:rsid w:val="00AD122F"/>
    <w:rsid w:val="00AD1758"/>
    <w:rsid w:val="00AE748F"/>
    <w:rsid w:val="00AF66E6"/>
    <w:rsid w:val="00B07FE7"/>
    <w:rsid w:val="00B379E0"/>
    <w:rsid w:val="00B455CD"/>
    <w:rsid w:val="00B61EA8"/>
    <w:rsid w:val="00B66911"/>
    <w:rsid w:val="00B672D7"/>
    <w:rsid w:val="00BE05D1"/>
    <w:rsid w:val="00BE502F"/>
    <w:rsid w:val="00BF6AB4"/>
    <w:rsid w:val="00C1162D"/>
    <w:rsid w:val="00C22AFB"/>
    <w:rsid w:val="00C27FFB"/>
    <w:rsid w:val="00C33BB3"/>
    <w:rsid w:val="00C428C0"/>
    <w:rsid w:val="00C605A1"/>
    <w:rsid w:val="00C805CE"/>
    <w:rsid w:val="00CB1F8C"/>
    <w:rsid w:val="00CC4C15"/>
    <w:rsid w:val="00CC56EF"/>
    <w:rsid w:val="00CD612B"/>
    <w:rsid w:val="00CE2D08"/>
    <w:rsid w:val="00CE4EE5"/>
    <w:rsid w:val="00CF1C11"/>
    <w:rsid w:val="00D37BF1"/>
    <w:rsid w:val="00D534EA"/>
    <w:rsid w:val="00D61185"/>
    <w:rsid w:val="00D82832"/>
    <w:rsid w:val="00D871A8"/>
    <w:rsid w:val="00D97504"/>
    <w:rsid w:val="00DA6C05"/>
    <w:rsid w:val="00DD1942"/>
    <w:rsid w:val="00DD59AB"/>
    <w:rsid w:val="00DD5F06"/>
    <w:rsid w:val="00DE3345"/>
    <w:rsid w:val="00DE43D5"/>
    <w:rsid w:val="00DE7E06"/>
    <w:rsid w:val="00DE7E54"/>
    <w:rsid w:val="00E07E36"/>
    <w:rsid w:val="00E23386"/>
    <w:rsid w:val="00E30D53"/>
    <w:rsid w:val="00E40BBE"/>
    <w:rsid w:val="00E5645A"/>
    <w:rsid w:val="00E745BE"/>
    <w:rsid w:val="00E81AA9"/>
    <w:rsid w:val="00E86685"/>
    <w:rsid w:val="00EA25C6"/>
    <w:rsid w:val="00EA6661"/>
    <w:rsid w:val="00EB2B11"/>
    <w:rsid w:val="00ED5106"/>
    <w:rsid w:val="00ED64C7"/>
    <w:rsid w:val="00F02151"/>
    <w:rsid w:val="00F17112"/>
    <w:rsid w:val="00F27DDF"/>
    <w:rsid w:val="00F54058"/>
    <w:rsid w:val="00F60845"/>
    <w:rsid w:val="00F9408A"/>
    <w:rsid w:val="00F94D1E"/>
    <w:rsid w:val="00F97A6A"/>
    <w:rsid w:val="00FC1218"/>
    <w:rsid w:val="00FC7680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6B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E6B25"/>
    <w:rPr>
      <w:color w:val="008000"/>
    </w:rPr>
  </w:style>
  <w:style w:type="paragraph" w:customStyle="1" w:styleId="a4">
    <w:name w:val="Нормальный (таблица)"/>
    <w:basedOn w:val="a"/>
    <w:next w:val="a"/>
    <w:rsid w:val="002E6B2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2E6B25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List Paragraph"/>
    <w:basedOn w:val="a"/>
    <w:qFormat/>
    <w:rsid w:val="004D03DF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semiHidden/>
    <w:rsid w:val="00206CD9"/>
    <w:rPr>
      <w:rFonts w:ascii="Tahoma" w:hAnsi="Tahoma" w:cs="Tahoma"/>
      <w:sz w:val="16"/>
      <w:szCs w:val="16"/>
    </w:rPr>
  </w:style>
  <w:style w:type="character" w:styleId="a8">
    <w:name w:val="Hyperlink"/>
    <w:rsid w:val="00557DB8"/>
    <w:rPr>
      <w:color w:val="0000FF"/>
      <w:u w:val="single"/>
    </w:rPr>
  </w:style>
  <w:style w:type="paragraph" w:customStyle="1" w:styleId="ConsPlusTitle">
    <w:name w:val="ConsPlusTitle"/>
    <w:rsid w:val="00E40B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11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Основной текст1"/>
    <w:rsid w:val="00100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9">
    <w:name w:val="No Spacing"/>
    <w:uiPriority w:val="1"/>
    <w:qFormat/>
    <w:rsid w:val="001002F7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table" w:styleId="aa">
    <w:name w:val="Table Grid"/>
    <w:basedOn w:val="a1"/>
    <w:rsid w:val="004D3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rsid w:val="008C0F7D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C0F7D"/>
  </w:style>
  <w:style w:type="character" w:styleId="ad">
    <w:name w:val="endnote reference"/>
    <w:rsid w:val="008C0F7D"/>
    <w:rPr>
      <w:vertAlign w:val="superscript"/>
    </w:rPr>
  </w:style>
  <w:style w:type="paragraph" w:styleId="ae">
    <w:name w:val="footnote text"/>
    <w:basedOn w:val="a"/>
    <w:link w:val="af"/>
    <w:rsid w:val="008C0F7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C0F7D"/>
  </w:style>
  <w:style w:type="character" w:styleId="af0">
    <w:name w:val="footnote reference"/>
    <w:rsid w:val="008C0F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6B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E6B25"/>
    <w:rPr>
      <w:color w:val="008000"/>
    </w:rPr>
  </w:style>
  <w:style w:type="paragraph" w:customStyle="1" w:styleId="a4">
    <w:name w:val="Нормальный (таблица)"/>
    <w:basedOn w:val="a"/>
    <w:next w:val="a"/>
    <w:rsid w:val="002E6B2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2E6B25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List Paragraph"/>
    <w:basedOn w:val="a"/>
    <w:qFormat/>
    <w:rsid w:val="004D03DF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semiHidden/>
    <w:rsid w:val="00206CD9"/>
    <w:rPr>
      <w:rFonts w:ascii="Tahoma" w:hAnsi="Tahoma" w:cs="Tahoma"/>
      <w:sz w:val="16"/>
      <w:szCs w:val="16"/>
    </w:rPr>
  </w:style>
  <w:style w:type="character" w:styleId="a8">
    <w:name w:val="Hyperlink"/>
    <w:rsid w:val="00557DB8"/>
    <w:rPr>
      <w:color w:val="0000FF"/>
      <w:u w:val="single"/>
    </w:rPr>
  </w:style>
  <w:style w:type="paragraph" w:customStyle="1" w:styleId="ConsPlusTitle">
    <w:name w:val="ConsPlusTitle"/>
    <w:rsid w:val="00E40B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11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Основной текст1"/>
    <w:rsid w:val="00100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9">
    <w:name w:val="No Spacing"/>
    <w:uiPriority w:val="1"/>
    <w:qFormat/>
    <w:rsid w:val="001002F7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table" w:styleId="aa">
    <w:name w:val="Table Grid"/>
    <w:basedOn w:val="a1"/>
    <w:rsid w:val="004D3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rsid w:val="008C0F7D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C0F7D"/>
  </w:style>
  <w:style w:type="character" w:styleId="ad">
    <w:name w:val="endnote reference"/>
    <w:rsid w:val="008C0F7D"/>
    <w:rPr>
      <w:vertAlign w:val="superscript"/>
    </w:rPr>
  </w:style>
  <w:style w:type="paragraph" w:styleId="ae">
    <w:name w:val="footnote text"/>
    <w:basedOn w:val="a"/>
    <w:link w:val="af"/>
    <w:rsid w:val="008C0F7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C0F7D"/>
  </w:style>
  <w:style w:type="character" w:styleId="af0">
    <w:name w:val="footnote reference"/>
    <w:rsid w:val="008C0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29077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8DBE-B5B5-40B6-BDFD-BA58A85A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14206</CharactersWithSpaces>
  <SharedDoc>false</SharedDoc>
  <HLinks>
    <vt:vector size="6" baseType="variant">
      <vt:variant>
        <vt:i4>7078007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http://docs.cntd.ru/document/902290777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Михалко</cp:lastModifiedBy>
  <cp:revision>9</cp:revision>
  <cp:lastPrinted>2017-10-24T23:09:00Z</cp:lastPrinted>
  <dcterms:created xsi:type="dcterms:W3CDTF">2017-04-17T18:25:00Z</dcterms:created>
  <dcterms:modified xsi:type="dcterms:W3CDTF">2017-10-24T23:10:00Z</dcterms:modified>
</cp:coreProperties>
</file>